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F53B072">
      <w:pPr>
        <w:spacing w:line="360" w:lineRule="auto"/>
        <w:jc w:val="center"/>
        <w:outlineLvl w:val="0"/>
        <w:rPr>
          <w:b/>
          <w:sz w:val="36"/>
          <w:szCs w:val="36"/>
          <w:highlight w:val="none"/>
        </w:rPr>
      </w:pPr>
      <w:bookmarkStart w:id="0" w:name="_Toc99301424"/>
      <w:bookmarkStart w:id="1" w:name="_Toc264969245"/>
      <w:bookmarkStart w:id="2" w:name="_Toc305158823"/>
      <w:bookmarkStart w:id="3" w:name="_Toc353873665"/>
      <w:bookmarkStart w:id="4" w:name="_Toc150774760"/>
      <w:bookmarkStart w:id="5" w:name="_Toc305158897"/>
      <w:bookmarkStart w:id="6" w:name="_Toc226965828"/>
      <w:bookmarkStart w:id="7" w:name="_Toc195842920"/>
      <w:bookmarkStart w:id="8" w:name="_Toc142311057"/>
      <w:bookmarkStart w:id="9" w:name="_Toc226337251"/>
      <w:bookmarkStart w:id="10" w:name="_Toc353825545"/>
      <w:bookmarkStart w:id="11" w:name="_Toc353873935"/>
      <w:bookmarkStart w:id="12" w:name="_Toc127151555"/>
      <w:bookmarkStart w:id="13" w:name="_Toc265228393"/>
      <w:bookmarkStart w:id="14" w:name="_Toc150480793"/>
      <w:r>
        <w:rPr>
          <w:b/>
          <w:sz w:val="36"/>
          <w:szCs w:val="36"/>
          <w:highlight w:val="none"/>
        </w:rPr>
        <w:t xml:space="preserve">   采购需求</w:t>
      </w:r>
      <w:bookmarkEnd w:id="0"/>
    </w:p>
    <w:p w14:paraId="2FA18776">
      <w:pPr>
        <w:snapToGrid w:val="0"/>
        <w:spacing w:line="360" w:lineRule="auto"/>
        <w:ind w:firstLine="482" w:firstLineChars="200"/>
        <w:rPr>
          <w:rFonts w:hint="eastAsia" w:ascii="仿宋" w:hAnsi="仿宋" w:eastAsia="仿宋" w:cs="仿宋"/>
          <w:b/>
          <w:color w:val="auto"/>
          <w:sz w:val="24"/>
        </w:rPr>
      </w:pPr>
      <w:r>
        <w:rPr>
          <w:rFonts w:hint="eastAsia" w:ascii="仿宋" w:hAnsi="仿宋" w:eastAsia="仿宋" w:cs="仿宋"/>
          <w:b/>
          <w:color w:val="auto"/>
          <w:sz w:val="24"/>
        </w:rPr>
        <w:t>一、采购标的</w:t>
      </w:r>
    </w:p>
    <w:p w14:paraId="6331D882">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（一）采购标的（货物需求一览表或简要服务内容及数量）</w:t>
      </w:r>
    </w:p>
    <w:tbl>
      <w:tblPr>
        <w:tblStyle w:val="43"/>
        <w:tblW w:w="8981"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97"/>
        <w:gridCol w:w="597"/>
        <w:gridCol w:w="3140"/>
        <w:gridCol w:w="818"/>
        <w:gridCol w:w="523"/>
        <w:gridCol w:w="1653"/>
        <w:gridCol w:w="1653"/>
      </w:tblGrid>
      <w:tr w14:paraId="05F1C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FEB1D">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包号</w:t>
            </w:r>
          </w:p>
        </w:tc>
        <w:tc>
          <w:tcPr>
            <w:tcW w:w="5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390BA">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序号</w:t>
            </w:r>
          </w:p>
        </w:tc>
        <w:tc>
          <w:tcPr>
            <w:tcW w:w="3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3FF50">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产品名称（标的名称）</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9B812">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数量</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B1A0D">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单位</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DC7BF">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单价限价（元）</w:t>
            </w:r>
          </w:p>
        </w:tc>
        <w:tc>
          <w:tcPr>
            <w:tcW w:w="1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7210C">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lang w:val="en-US" w:eastAsia="zh-CN" w:bidi="ar"/>
              </w:rPr>
            </w:pPr>
            <w:r>
              <w:rPr>
                <w:rFonts w:hint="eastAsia" w:ascii="仿宋" w:hAnsi="仿宋" w:eastAsia="仿宋" w:cs="仿宋"/>
                <w:b/>
                <w:bCs/>
                <w:i w:val="0"/>
                <w:iCs w:val="0"/>
                <w:color w:val="auto"/>
                <w:kern w:val="0"/>
                <w:sz w:val="24"/>
                <w:szCs w:val="24"/>
                <w:u w:val="none"/>
                <w:lang w:val="en-US" w:eastAsia="zh-CN" w:bidi="ar"/>
              </w:rPr>
              <w:t>核心产品</w:t>
            </w:r>
          </w:p>
        </w:tc>
      </w:tr>
      <w:tr w14:paraId="71784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97" w:type="dxa"/>
            <w:vMerge w:val="restart"/>
            <w:tcBorders>
              <w:top w:val="single" w:color="000000" w:sz="4" w:space="0"/>
              <w:left w:val="single" w:color="000000" w:sz="4" w:space="0"/>
              <w:right w:val="single" w:color="000000" w:sz="4" w:space="0"/>
            </w:tcBorders>
            <w:shd w:val="clear" w:color="auto" w:fill="auto"/>
            <w:vAlign w:val="center"/>
          </w:tcPr>
          <w:p w14:paraId="690AD7ED">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w:t>
            </w: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2A92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3E57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应用服务器</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ABA3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1DC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1174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52000.00 </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DFF56">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p>
        </w:tc>
      </w:tr>
      <w:tr w14:paraId="332D9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97" w:type="dxa"/>
            <w:vMerge w:val="continue"/>
            <w:tcBorders>
              <w:left w:val="single" w:color="000000" w:sz="4" w:space="0"/>
              <w:right w:val="single" w:color="000000" w:sz="4" w:space="0"/>
            </w:tcBorders>
            <w:shd w:val="clear" w:color="auto" w:fill="auto"/>
            <w:vAlign w:val="center"/>
          </w:tcPr>
          <w:p w14:paraId="0888A5BF">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9878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1AD5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数据库服务器</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0A85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7492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5DCC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62300.00 </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A6400">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r>
      <w:tr w14:paraId="554D6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97" w:type="dxa"/>
            <w:vMerge w:val="continue"/>
            <w:tcBorders>
              <w:left w:val="single" w:color="000000" w:sz="4" w:space="0"/>
              <w:right w:val="single" w:color="000000" w:sz="4" w:space="0"/>
            </w:tcBorders>
            <w:shd w:val="clear" w:color="auto" w:fill="auto"/>
            <w:vAlign w:val="center"/>
          </w:tcPr>
          <w:p w14:paraId="64D13000">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5EE6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A21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前置机</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CBE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6357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F4F8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52000.00 </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C890B">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r>
      <w:tr w14:paraId="7B9A9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97" w:type="dxa"/>
            <w:vMerge w:val="continue"/>
            <w:tcBorders>
              <w:left w:val="single" w:color="000000" w:sz="4" w:space="0"/>
              <w:right w:val="single" w:color="000000" w:sz="4" w:space="0"/>
            </w:tcBorders>
            <w:shd w:val="clear" w:color="auto" w:fill="auto"/>
            <w:vAlign w:val="center"/>
          </w:tcPr>
          <w:p w14:paraId="12301A42">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8CEE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9B0D0">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86寸显示终端</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9C42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4</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2E5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D632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12000.00 </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48BC1">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r>
      <w:tr w14:paraId="027D1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97" w:type="dxa"/>
            <w:vMerge w:val="continue"/>
            <w:tcBorders>
              <w:left w:val="single" w:color="000000" w:sz="4" w:space="0"/>
              <w:right w:val="single" w:color="000000" w:sz="4" w:space="0"/>
            </w:tcBorders>
            <w:shd w:val="clear" w:color="auto" w:fill="auto"/>
            <w:vAlign w:val="center"/>
          </w:tcPr>
          <w:p w14:paraId="6AF7D976">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D7F1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952C">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55寸信息展示终端3</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7D82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12</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33C88">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EEC1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6200.00 </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8FCCF">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p>
        </w:tc>
      </w:tr>
      <w:tr w14:paraId="7C3E0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97" w:type="dxa"/>
            <w:vMerge w:val="continue"/>
            <w:tcBorders>
              <w:left w:val="single" w:color="000000" w:sz="4" w:space="0"/>
              <w:right w:val="single" w:color="000000" w:sz="4" w:space="0"/>
            </w:tcBorders>
            <w:shd w:val="clear" w:color="auto" w:fill="auto"/>
            <w:vAlign w:val="center"/>
          </w:tcPr>
          <w:p w14:paraId="49308E5C">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C144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1C868">
            <w:pPr>
              <w:keepNext w:val="0"/>
              <w:keepLines w:val="0"/>
              <w:widowControl/>
              <w:suppressLineNumbers w:val="0"/>
              <w:jc w:val="center"/>
              <w:textAlignment w:val="center"/>
              <w:rPr>
                <w:rFonts w:hint="default"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UPS主机1</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BD5B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9F27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C3F4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419800.00 </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4395">
            <w:pPr>
              <w:keepNext w:val="0"/>
              <w:keepLines w:val="0"/>
              <w:widowControl/>
              <w:suppressLineNumbers w:val="0"/>
              <w:jc w:val="center"/>
              <w:textAlignment w:val="center"/>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是</w:t>
            </w:r>
          </w:p>
        </w:tc>
      </w:tr>
      <w:tr w14:paraId="6B7D9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97" w:type="dxa"/>
            <w:vMerge w:val="continue"/>
            <w:tcBorders>
              <w:left w:val="single" w:color="000000" w:sz="4" w:space="0"/>
              <w:right w:val="single" w:color="000000" w:sz="4" w:space="0"/>
            </w:tcBorders>
            <w:shd w:val="clear" w:color="auto" w:fill="auto"/>
            <w:vAlign w:val="center"/>
          </w:tcPr>
          <w:p w14:paraId="020CF15E">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FFF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7</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069BD">
            <w:pPr>
              <w:keepNext w:val="0"/>
              <w:keepLines w:val="0"/>
              <w:widowControl/>
              <w:suppressLineNumbers w:val="0"/>
              <w:jc w:val="center"/>
              <w:textAlignment w:val="center"/>
              <w:rPr>
                <w:rFonts w:hint="default"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蓄电池1</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4246B">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216</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C29D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块</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5C8D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1800.00 </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FD45B">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r>
      <w:tr w14:paraId="6AE8D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97" w:type="dxa"/>
            <w:vMerge w:val="continue"/>
            <w:tcBorders>
              <w:left w:val="single" w:color="000000" w:sz="4" w:space="0"/>
              <w:right w:val="single" w:color="000000" w:sz="4" w:space="0"/>
            </w:tcBorders>
            <w:shd w:val="clear" w:color="auto" w:fill="auto"/>
            <w:vAlign w:val="center"/>
          </w:tcPr>
          <w:p w14:paraId="3A337D63">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B7AD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8</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B2E07">
            <w:pPr>
              <w:keepNext w:val="0"/>
              <w:keepLines w:val="0"/>
              <w:widowControl/>
              <w:suppressLineNumbers w:val="0"/>
              <w:jc w:val="center"/>
              <w:textAlignment w:val="center"/>
              <w:rPr>
                <w:rFonts w:hint="default"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电池架1</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AD8B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6</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97B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998B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9000.00 </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3A91C">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r>
      <w:tr w14:paraId="29713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97" w:type="dxa"/>
            <w:vMerge w:val="continue"/>
            <w:tcBorders>
              <w:left w:val="single" w:color="000000" w:sz="4" w:space="0"/>
              <w:right w:val="single" w:color="000000" w:sz="4" w:space="0"/>
            </w:tcBorders>
            <w:shd w:val="clear" w:color="auto" w:fill="auto"/>
            <w:vAlign w:val="center"/>
          </w:tcPr>
          <w:p w14:paraId="58FDCD8B">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1BDB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9</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C321">
            <w:pPr>
              <w:keepNext w:val="0"/>
              <w:keepLines w:val="0"/>
              <w:widowControl/>
              <w:suppressLineNumbers w:val="0"/>
              <w:jc w:val="center"/>
              <w:textAlignment w:val="center"/>
              <w:rPr>
                <w:rFonts w:hint="default"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UPS主机2</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F132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ACC2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台</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56D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147100.00 </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3AABA">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r>
      <w:tr w14:paraId="4C330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97" w:type="dxa"/>
            <w:vMerge w:val="continue"/>
            <w:tcBorders>
              <w:left w:val="single" w:color="000000" w:sz="4" w:space="0"/>
              <w:right w:val="single" w:color="000000" w:sz="4" w:space="0"/>
            </w:tcBorders>
            <w:shd w:val="clear" w:color="auto" w:fill="auto"/>
            <w:vAlign w:val="center"/>
          </w:tcPr>
          <w:p w14:paraId="3CEF7DB3">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5B4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10</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AE440">
            <w:pPr>
              <w:keepNext w:val="0"/>
              <w:keepLines w:val="0"/>
              <w:widowControl/>
              <w:suppressLineNumbers w:val="0"/>
              <w:jc w:val="center"/>
              <w:textAlignment w:val="center"/>
              <w:rPr>
                <w:rFonts w:hint="default"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蓄电池组2</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36E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AC1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4FC6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57600.00 </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CC314">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r>
      <w:tr w14:paraId="1E7A1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97" w:type="dxa"/>
            <w:vMerge w:val="continue"/>
            <w:tcBorders>
              <w:left w:val="single" w:color="000000" w:sz="4" w:space="0"/>
              <w:right w:val="single" w:color="000000" w:sz="4" w:space="0"/>
            </w:tcBorders>
            <w:shd w:val="clear" w:color="auto" w:fill="auto"/>
            <w:vAlign w:val="center"/>
          </w:tcPr>
          <w:p w14:paraId="371493D1">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C1A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11</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2D79F">
            <w:pPr>
              <w:keepNext w:val="0"/>
              <w:keepLines w:val="0"/>
              <w:widowControl/>
              <w:suppressLineNumbers w:val="0"/>
              <w:jc w:val="center"/>
              <w:textAlignment w:val="center"/>
              <w:rPr>
                <w:rFonts w:hint="default" w:ascii="仿宋" w:hAnsi="仿宋" w:eastAsia="仿宋" w:cs="仿宋"/>
                <w:i w:val="0"/>
                <w:iCs w:val="0"/>
                <w:color w:val="auto"/>
                <w:sz w:val="24"/>
                <w:szCs w:val="24"/>
                <w:u w:val="none"/>
                <w:lang w:val="en-US"/>
              </w:rPr>
            </w:pPr>
            <w:r>
              <w:rPr>
                <w:rFonts w:hint="eastAsia" w:ascii="仿宋" w:hAnsi="仿宋" w:eastAsia="仿宋" w:cs="仿宋"/>
                <w:i w:val="0"/>
                <w:iCs w:val="0"/>
                <w:color w:val="auto"/>
                <w:kern w:val="0"/>
                <w:sz w:val="24"/>
                <w:szCs w:val="24"/>
                <w:u w:val="none"/>
                <w:lang w:val="en-US" w:eastAsia="zh-CN" w:bidi="ar"/>
              </w:rPr>
              <w:t>蓄电池组架2</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A9E56">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3</w:t>
            </w:r>
          </w:p>
        </w:tc>
        <w:tc>
          <w:tcPr>
            <w:tcW w:w="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61A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个</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3F85">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5000.00 </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005F6">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r>
      <w:tr w14:paraId="2E03D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97" w:type="dxa"/>
            <w:vMerge w:val="continue"/>
            <w:tcBorders>
              <w:left w:val="single" w:color="000000" w:sz="4" w:space="0"/>
              <w:right w:val="single" w:color="000000" w:sz="4" w:space="0"/>
            </w:tcBorders>
            <w:shd w:val="clear" w:color="auto" w:fill="auto"/>
            <w:vAlign w:val="center"/>
          </w:tcPr>
          <w:p w14:paraId="27BAAB68">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8BEB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12</w:t>
            </w:r>
          </w:p>
        </w:tc>
        <w:tc>
          <w:tcPr>
            <w:tcW w:w="3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88D8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服务器操作系统</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AB36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5</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9CE1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C125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5000.00 </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DD8A">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r>
      <w:tr w14:paraId="728F8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97" w:type="dxa"/>
            <w:vMerge w:val="continue"/>
            <w:tcBorders>
              <w:left w:val="single" w:color="000000" w:sz="4" w:space="0"/>
              <w:right w:val="single" w:color="000000" w:sz="4" w:space="0"/>
            </w:tcBorders>
            <w:shd w:val="clear" w:color="auto" w:fill="auto"/>
            <w:vAlign w:val="center"/>
          </w:tcPr>
          <w:p w14:paraId="40F0F4FE">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426D7">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13</w:t>
            </w:r>
          </w:p>
        </w:tc>
        <w:tc>
          <w:tcPr>
            <w:tcW w:w="3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C36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数据库</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AD32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963C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套</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15C1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51000.00 </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DF872">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r>
      <w:tr w14:paraId="1594B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97" w:type="dxa"/>
            <w:vMerge w:val="continue"/>
            <w:tcBorders>
              <w:left w:val="single" w:color="000000" w:sz="4" w:space="0"/>
              <w:bottom w:val="single" w:color="000000" w:sz="4" w:space="0"/>
              <w:right w:val="single" w:color="000000" w:sz="4" w:space="0"/>
            </w:tcBorders>
            <w:shd w:val="clear" w:color="auto" w:fill="auto"/>
            <w:vAlign w:val="center"/>
          </w:tcPr>
          <w:p w14:paraId="604D1E1D">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A8C2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14</w:t>
            </w:r>
          </w:p>
        </w:tc>
        <w:tc>
          <w:tcPr>
            <w:tcW w:w="31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0DFA2">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系统集成（预算项目-集采目录内）</w:t>
            </w:r>
          </w:p>
        </w:tc>
        <w:tc>
          <w:tcPr>
            <w:tcW w:w="8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19A7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5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20794">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项</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FCD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 xml:space="preserve">61700.00 </w:t>
            </w:r>
          </w:p>
        </w:tc>
        <w:tc>
          <w:tcPr>
            <w:tcW w:w="1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AD3D">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p>
        </w:tc>
      </w:tr>
    </w:tbl>
    <w:p w14:paraId="4C9C9DFF">
      <w:pPr>
        <w:snapToGrid w:val="0"/>
        <w:spacing w:line="360" w:lineRule="auto"/>
        <w:rPr>
          <w:rFonts w:hint="eastAsia" w:ascii="仿宋" w:hAnsi="仿宋" w:eastAsia="仿宋" w:cs="仿宋"/>
          <w:b/>
          <w:bCs/>
          <w:color w:val="auto"/>
          <w:sz w:val="24"/>
        </w:rPr>
      </w:pPr>
    </w:p>
    <w:p w14:paraId="5E9A6A6D">
      <w:pPr>
        <w:snapToGrid w:val="0"/>
        <w:spacing w:line="360" w:lineRule="auto"/>
        <w:rPr>
          <w:rFonts w:hint="eastAsia" w:ascii="仿宋" w:hAnsi="仿宋" w:eastAsia="仿宋" w:cs="仿宋"/>
          <w:b/>
          <w:bCs/>
          <w:color w:val="auto"/>
          <w:sz w:val="24"/>
        </w:rPr>
      </w:pPr>
      <w:r>
        <w:rPr>
          <w:rFonts w:hint="eastAsia" w:ascii="仿宋" w:hAnsi="仿宋" w:eastAsia="仿宋" w:cs="仿宋"/>
          <w:b/>
          <w:bCs/>
          <w:color w:val="auto"/>
          <w:sz w:val="24"/>
        </w:rPr>
        <w:t>注：1）投标人所报产品单价不能超过上述单价限价金额，否则按</w:t>
      </w:r>
      <w:r>
        <w:rPr>
          <w:rFonts w:hint="eastAsia" w:ascii="仿宋" w:hAnsi="仿宋" w:eastAsia="仿宋" w:cs="仿宋"/>
          <w:b/>
          <w:bCs/>
          <w:color w:val="auto"/>
          <w:sz w:val="24"/>
          <w:lang w:eastAsia="zh-CN"/>
        </w:rPr>
        <w:t>无效投标处理</w:t>
      </w:r>
      <w:r>
        <w:rPr>
          <w:rFonts w:hint="eastAsia" w:ascii="仿宋" w:hAnsi="仿宋" w:eastAsia="仿宋" w:cs="仿宋"/>
          <w:b/>
          <w:bCs/>
          <w:color w:val="auto"/>
          <w:sz w:val="24"/>
        </w:rPr>
        <w:t>处理。</w:t>
      </w:r>
    </w:p>
    <w:p w14:paraId="22A8AD0E">
      <w:pPr>
        <w:snapToGrid w:val="0"/>
        <w:spacing w:line="360" w:lineRule="auto"/>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rPr>
        <w:t>2）如涉及中小企业声明函填报，应包含上述具体明细中所有标的。</w:t>
      </w:r>
    </w:p>
    <w:p w14:paraId="759CDCB5">
      <w:pPr>
        <w:pStyle w:val="6"/>
        <w:ind w:firstLine="960" w:firstLineChars="400"/>
        <w:rPr>
          <w:rFonts w:hint="eastAsia" w:ascii="仿宋" w:hAnsi="仿宋" w:eastAsia="仿宋" w:cs="仿宋"/>
          <w:color w:val="auto"/>
          <w:lang w:eastAsia="zh-CN"/>
        </w:rPr>
      </w:pPr>
      <w:r>
        <w:rPr>
          <w:rFonts w:hint="eastAsia" w:ascii="仿宋" w:hAnsi="仿宋" w:eastAsia="仿宋" w:cs="仿宋"/>
          <w:color w:val="auto"/>
          <w:lang w:eastAsia="zh-CN"/>
        </w:rPr>
        <w:t>本项目不接受进口产品</w:t>
      </w:r>
    </w:p>
    <w:p w14:paraId="6FDA474C">
      <w:pPr>
        <w:snapToGrid w:val="0"/>
        <w:spacing w:line="360" w:lineRule="auto"/>
        <w:ind w:firstLine="480" w:firstLineChars="200"/>
        <w:rPr>
          <w:rFonts w:hint="eastAsia" w:ascii="仿宋" w:hAnsi="仿宋" w:eastAsia="仿宋" w:cs="仿宋"/>
          <w:bCs/>
          <w:color w:val="auto"/>
          <w:sz w:val="24"/>
        </w:rPr>
      </w:pPr>
    </w:p>
    <w:p w14:paraId="1C5FCFC1">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（二）项目背景/项目概述（如有）</w:t>
      </w:r>
    </w:p>
    <w:p w14:paraId="359198ED">
      <w:pPr>
        <w:tabs>
          <w:tab w:val="left" w:pos="5456"/>
        </w:tabs>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依据《北京市国民经济和社会发展第十四个五年规划和二〇三五年远景目标纲要》《“健康北京 2030”规划纲要》《“十四五”时期健康北京建设规划》《中共北京市委北京市人民政府关于加强首都公共卫生应急管理体系建设的若干意见》《北京市疾病预防控制中心中长期发展规划》（2024 -2030 年）等文件精神，北京市疾病预防控制中心（以下称“市疾控中心”）开展了新址迁建项目，机房工程及配套为迁建项目的配套项目，为满足新址信息化支撑等需求，需开展</w:t>
      </w:r>
      <w:r>
        <w:rPr>
          <w:rFonts w:hint="eastAsia" w:ascii="仿宋" w:hAnsi="仿宋" w:eastAsia="仿宋" w:cs="仿宋"/>
          <w:color w:val="auto"/>
          <w:sz w:val="24"/>
          <w:lang w:val="en-US" w:eastAsia="zh-CN"/>
        </w:rPr>
        <w:t>服务器、显示终端、UPS、操作系统、数据库</w:t>
      </w:r>
      <w:r>
        <w:rPr>
          <w:rFonts w:hint="eastAsia" w:ascii="仿宋" w:hAnsi="仿宋" w:eastAsia="仿宋" w:cs="仿宋"/>
          <w:color w:val="auto"/>
          <w:sz w:val="24"/>
        </w:rPr>
        <w:t>等</w:t>
      </w:r>
      <w:r>
        <w:rPr>
          <w:rFonts w:hint="eastAsia" w:ascii="仿宋" w:hAnsi="仿宋" w:eastAsia="仿宋" w:cs="仿宋"/>
          <w:color w:val="auto"/>
          <w:sz w:val="24"/>
          <w:lang w:val="en-US" w:eastAsia="zh-CN"/>
        </w:rPr>
        <w:t>软硬件</w:t>
      </w:r>
      <w:r>
        <w:rPr>
          <w:rFonts w:hint="eastAsia" w:ascii="仿宋" w:hAnsi="仿宋" w:eastAsia="仿宋" w:cs="仿宋"/>
          <w:color w:val="auto"/>
          <w:sz w:val="24"/>
        </w:rPr>
        <w:t>等设备</w:t>
      </w:r>
      <w:r>
        <w:rPr>
          <w:rFonts w:hint="eastAsia" w:ascii="仿宋" w:hAnsi="仿宋" w:eastAsia="仿宋" w:cs="仿宋"/>
          <w:color w:val="auto"/>
          <w:sz w:val="24"/>
          <w:lang w:val="en-US" w:eastAsia="zh-CN"/>
        </w:rPr>
        <w:t>采购</w:t>
      </w:r>
      <w:r>
        <w:rPr>
          <w:rFonts w:hint="eastAsia" w:ascii="仿宋" w:hAnsi="仿宋" w:eastAsia="仿宋" w:cs="仿宋"/>
          <w:color w:val="auto"/>
          <w:sz w:val="24"/>
        </w:rPr>
        <w:t>。</w:t>
      </w:r>
    </w:p>
    <w:p w14:paraId="0541A830">
      <w:pPr>
        <w:tabs>
          <w:tab w:val="left" w:pos="5456"/>
        </w:tabs>
        <w:snapToGrid w:val="0"/>
        <w:spacing w:line="360" w:lineRule="auto"/>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rPr>
        <w:t>二、商务要求</w:t>
      </w:r>
      <w:r>
        <w:rPr>
          <w:rFonts w:hint="eastAsia" w:ascii="仿宋" w:hAnsi="仿宋" w:eastAsia="仿宋" w:cs="仿宋"/>
          <w:b/>
          <w:bCs/>
          <w:color w:val="auto"/>
          <w:sz w:val="24"/>
        </w:rPr>
        <w:tab/>
      </w:r>
    </w:p>
    <w:p w14:paraId="58C80DE0">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（一）交付（实施）的时间（期限）和地点（范围）</w:t>
      </w:r>
    </w:p>
    <w:p w14:paraId="52B975B6">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1、交付时间：自合同签订生效之日起</w:t>
      </w:r>
      <w:r>
        <w:rPr>
          <w:rFonts w:hint="eastAsia" w:ascii="仿宋" w:hAnsi="仿宋" w:eastAsia="仿宋" w:cs="仿宋"/>
          <w:bCs/>
          <w:color w:val="auto"/>
          <w:sz w:val="24"/>
          <w:lang w:eastAsia="zh-CN"/>
        </w:rPr>
        <w:t>30日</w:t>
      </w:r>
      <w:r>
        <w:rPr>
          <w:rFonts w:hint="eastAsia" w:ascii="仿宋" w:hAnsi="仿宋" w:eastAsia="仿宋" w:cs="仿宋"/>
          <w:bCs/>
          <w:color w:val="auto"/>
          <w:sz w:val="24"/>
        </w:rPr>
        <w:t>内完成供货安装调试。</w:t>
      </w:r>
    </w:p>
    <w:p w14:paraId="663EF6FD">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2、交付地点：</w:t>
      </w:r>
      <w:r>
        <w:rPr>
          <w:rFonts w:hint="eastAsia" w:ascii="仿宋" w:hAnsi="仿宋" w:eastAsia="仿宋" w:cs="仿宋"/>
          <w:color w:val="auto"/>
          <w:sz w:val="24"/>
        </w:rPr>
        <w:t>北京市疾病预防控制中心指定地点。</w:t>
      </w:r>
    </w:p>
    <w:p w14:paraId="24E1D48C">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（二）付款条件（进度和方式）</w:t>
      </w:r>
    </w:p>
    <w:p w14:paraId="08401227">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lang w:val="en-US" w:eastAsia="zh-CN"/>
        </w:rPr>
        <w:t>1.</w:t>
      </w:r>
      <w:r>
        <w:rPr>
          <w:rFonts w:hint="eastAsia" w:ascii="仿宋" w:hAnsi="仿宋" w:eastAsia="仿宋" w:cs="仿宋"/>
          <w:bCs/>
          <w:color w:val="auto"/>
          <w:sz w:val="24"/>
        </w:rPr>
        <w:t>首款：财政资金拨付到位后，</w:t>
      </w:r>
      <w:r>
        <w:rPr>
          <w:rFonts w:hint="eastAsia" w:ascii="仿宋" w:hAnsi="仿宋" w:eastAsia="仿宋" w:cs="仿宋"/>
          <w:bCs/>
          <w:color w:val="auto"/>
          <w:sz w:val="24"/>
          <w:lang w:eastAsia="zh-CN"/>
        </w:rPr>
        <w:t>采购人</w:t>
      </w:r>
      <w:r>
        <w:rPr>
          <w:rFonts w:hint="eastAsia" w:ascii="仿宋" w:hAnsi="仿宋" w:eastAsia="仿宋" w:cs="仿宋"/>
          <w:bCs/>
          <w:color w:val="auto"/>
          <w:sz w:val="24"/>
        </w:rPr>
        <w:t>向</w:t>
      </w:r>
      <w:r>
        <w:rPr>
          <w:rFonts w:hint="eastAsia" w:ascii="仿宋" w:hAnsi="仿宋" w:eastAsia="仿宋" w:cs="仿宋"/>
          <w:bCs/>
          <w:color w:val="auto"/>
          <w:sz w:val="24"/>
          <w:lang w:eastAsia="zh-CN"/>
        </w:rPr>
        <w:t>中标人</w:t>
      </w:r>
      <w:r>
        <w:rPr>
          <w:rFonts w:hint="eastAsia" w:ascii="仿宋" w:hAnsi="仿宋" w:eastAsia="仿宋" w:cs="仿宋"/>
          <w:bCs/>
          <w:color w:val="auto"/>
          <w:sz w:val="24"/>
        </w:rPr>
        <w:t>支付本合同总金额的70%。</w:t>
      </w:r>
    </w:p>
    <w:p w14:paraId="088BC496">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lang w:val="en-US" w:eastAsia="zh-CN"/>
        </w:rPr>
        <w:t>2.</w:t>
      </w:r>
      <w:r>
        <w:rPr>
          <w:rFonts w:hint="eastAsia" w:ascii="仿宋" w:hAnsi="仿宋" w:eastAsia="仿宋" w:cs="仿宋"/>
          <w:bCs/>
          <w:color w:val="auto"/>
          <w:sz w:val="24"/>
        </w:rPr>
        <w:t>尾款：本项目通过最终验收，且财政资金拨付到位后，</w:t>
      </w:r>
      <w:r>
        <w:rPr>
          <w:rFonts w:hint="eastAsia" w:ascii="仿宋" w:hAnsi="仿宋" w:eastAsia="仿宋" w:cs="仿宋"/>
          <w:bCs/>
          <w:color w:val="auto"/>
          <w:sz w:val="24"/>
          <w:lang w:eastAsia="zh-CN"/>
        </w:rPr>
        <w:t>采购人</w:t>
      </w:r>
      <w:r>
        <w:rPr>
          <w:rFonts w:hint="eastAsia" w:ascii="仿宋" w:hAnsi="仿宋" w:eastAsia="仿宋" w:cs="仿宋"/>
          <w:bCs/>
          <w:color w:val="auto"/>
          <w:sz w:val="24"/>
        </w:rPr>
        <w:t>向</w:t>
      </w:r>
      <w:r>
        <w:rPr>
          <w:rFonts w:hint="eastAsia" w:ascii="仿宋" w:hAnsi="仿宋" w:eastAsia="仿宋" w:cs="仿宋"/>
          <w:bCs/>
          <w:color w:val="auto"/>
          <w:sz w:val="24"/>
          <w:lang w:eastAsia="zh-CN"/>
        </w:rPr>
        <w:t>中标人</w:t>
      </w:r>
      <w:r>
        <w:rPr>
          <w:rFonts w:hint="eastAsia" w:ascii="仿宋" w:hAnsi="仿宋" w:eastAsia="仿宋" w:cs="仿宋"/>
          <w:bCs/>
          <w:color w:val="auto"/>
          <w:sz w:val="24"/>
        </w:rPr>
        <w:t>支付本合同总金额的30％。</w:t>
      </w:r>
    </w:p>
    <w:p w14:paraId="798C8FD5">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lang w:val="en-US" w:eastAsia="zh-CN"/>
        </w:rPr>
        <w:t>3.</w:t>
      </w:r>
      <w:r>
        <w:rPr>
          <w:rFonts w:hint="eastAsia" w:ascii="仿宋" w:hAnsi="仿宋" w:eastAsia="仿宋" w:cs="仿宋"/>
          <w:bCs/>
          <w:color w:val="auto"/>
          <w:sz w:val="24"/>
          <w:lang w:eastAsia="zh-CN"/>
        </w:rPr>
        <w:t>采购人</w:t>
      </w:r>
      <w:r>
        <w:rPr>
          <w:rFonts w:hint="eastAsia" w:ascii="仿宋" w:hAnsi="仿宋" w:eastAsia="仿宋" w:cs="仿宋"/>
          <w:bCs/>
          <w:color w:val="auto"/>
          <w:sz w:val="24"/>
        </w:rPr>
        <w:t>付款前1</w:t>
      </w:r>
      <w:r>
        <w:rPr>
          <w:rFonts w:hint="eastAsia" w:ascii="仿宋" w:hAnsi="仿宋" w:eastAsia="仿宋" w:cs="仿宋"/>
          <w:bCs/>
          <w:color w:val="auto"/>
          <w:sz w:val="24"/>
          <w:lang w:val="en-US" w:eastAsia="zh-CN"/>
        </w:rPr>
        <w:t>0</w:t>
      </w:r>
      <w:r>
        <w:rPr>
          <w:rFonts w:hint="eastAsia" w:ascii="仿宋" w:hAnsi="仿宋" w:eastAsia="仿宋" w:cs="仿宋"/>
          <w:bCs/>
          <w:color w:val="auto"/>
          <w:sz w:val="24"/>
        </w:rPr>
        <w:t>个工作日内，</w:t>
      </w:r>
      <w:r>
        <w:rPr>
          <w:rFonts w:hint="eastAsia" w:ascii="仿宋" w:hAnsi="仿宋" w:eastAsia="仿宋" w:cs="仿宋"/>
          <w:bCs/>
          <w:color w:val="auto"/>
          <w:sz w:val="24"/>
          <w:lang w:eastAsia="zh-CN"/>
        </w:rPr>
        <w:t>中标人</w:t>
      </w:r>
      <w:r>
        <w:rPr>
          <w:rFonts w:hint="eastAsia" w:ascii="仿宋" w:hAnsi="仿宋" w:eastAsia="仿宋" w:cs="仿宋"/>
          <w:bCs/>
          <w:color w:val="auto"/>
          <w:sz w:val="24"/>
        </w:rPr>
        <w:t>须向</w:t>
      </w:r>
      <w:r>
        <w:rPr>
          <w:rFonts w:hint="eastAsia" w:ascii="仿宋" w:hAnsi="仿宋" w:eastAsia="仿宋" w:cs="仿宋"/>
          <w:bCs/>
          <w:color w:val="auto"/>
          <w:sz w:val="24"/>
          <w:lang w:eastAsia="zh-CN"/>
        </w:rPr>
        <w:t>采购人</w:t>
      </w:r>
      <w:r>
        <w:rPr>
          <w:rFonts w:hint="eastAsia" w:ascii="仿宋" w:hAnsi="仿宋" w:eastAsia="仿宋" w:cs="仿宋"/>
          <w:bCs/>
          <w:color w:val="auto"/>
          <w:sz w:val="24"/>
        </w:rPr>
        <w:t>提供对应付款金额的合法合规有效发票，交由</w:t>
      </w:r>
      <w:r>
        <w:rPr>
          <w:rFonts w:hint="eastAsia" w:ascii="仿宋" w:hAnsi="仿宋" w:eastAsia="仿宋" w:cs="仿宋"/>
          <w:bCs/>
          <w:color w:val="auto"/>
          <w:sz w:val="24"/>
          <w:lang w:eastAsia="zh-CN"/>
        </w:rPr>
        <w:t>采购人</w:t>
      </w:r>
      <w:r>
        <w:rPr>
          <w:rFonts w:hint="eastAsia" w:ascii="仿宋" w:hAnsi="仿宋" w:eastAsia="仿宋" w:cs="仿宋"/>
          <w:bCs/>
          <w:color w:val="auto"/>
          <w:sz w:val="24"/>
        </w:rPr>
        <w:t>审核。</w:t>
      </w:r>
      <w:r>
        <w:rPr>
          <w:rFonts w:hint="eastAsia" w:ascii="仿宋" w:hAnsi="仿宋" w:eastAsia="仿宋" w:cs="仿宋"/>
          <w:bCs/>
          <w:color w:val="auto"/>
          <w:sz w:val="24"/>
          <w:lang w:eastAsia="zh-CN"/>
        </w:rPr>
        <w:t>采购人</w:t>
      </w:r>
      <w:r>
        <w:rPr>
          <w:rFonts w:hint="eastAsia" w:ascii="仿宋" w:hAnsi="仿宋" w:eastAsia="仿宋" w:cs="仿宋"/>
          <w:bCs/>
          <w:color w:val="auto"/>
          <w:sz w:val="24"/>
        </w:rPr>
        <w:t>审核通过后，按照本合同约定向</w:t>
      </w:r>
      <w:r>
        <w:rPr>
          <w:rFonts w:hint="eastAsia" w:ascii="仿宋" w:hAnsi="仿宋" w:eastAsia="仿宋" w:cs="仿宋"/>
          <w:bCs/>
          <w:color w:val="auto"/>
          <w:sz w:val="24"/>
          <w:lang w:eastAsia="zh-CN"/>
        </w:rPr>
        <w:t>中标人</w:t>
      </w:r>
      <w:r>
        <w:rPr>
          <w:rFonts w:hint="eastAsia" w:ascii="仿宋" w:hAnsi="仿宋" w:eastAsia="仿宋" w:cs="仿宋"/>
          <w:bCs/>
          <w:color w:val="auto"/>
          <w:sz w:val="24"/>
        </w:rPr>
        <w:t>支付对应款项。若</w:t>
      </w:r>
      <w:r>
        <w:rPr>
          <w:rFonts w:hint="eastAsia" w:ascii="仿宋" w:hAnsi="仿宋" w:eastAsia="仿宋" w:cs="仿宋"/>
          <w:bCs/>
          <w:color w:val="auto"/>
          <w:sz w:val="24"/>
          <w:lang w:eastAsia="zh-CN"/>
        </w:rPr>
        <w:t>中标人</w:t>
      </w:r>
      <w:r>
        <w:rPr>
          <w:rFonts w:hint="eastAsia" w:ascii="仿宋" w:hAnsi="仿宋" w:eastAsia="仿宋" w:cs="仿宋"/>
          <w:bCs/>
          <w:color w:val="auto"/>
          <w:sz w:val="24"/>
        </w:rPr>
        <w:t>未按时提供发票，或提供的发票审核不合格的，</w:t>
      </w:r>
      <w:r>
        <w:rPr>
          <w:rFonts w:hint="eastAsia" w:ascii="仿宋" w:hAnsi="仿宋" w:eastAsia="仿宋" w:cs="仿宋"/>
          <w:bCs/>
          <w:color w:val="auto"/>
          <w:sz w:val="24"/>
          <w:lang w:eastAsia="zh-CN"/>
        </w:rPr>
        <w:t>采购人</w:t>
      </w:r>
      <w:r>
        <w:rPr>
          <w:rFonts w:hint="eastAsia" w:ascii="仿宋" w:hAnsi="仿宋" w:eastAsia="仿宋" w:cs="仿宋"/>
          <w:bCs/>
          <w:color w:val="auto"/>
          <w:sz w:val="24"/>
        </w:rPr>
        <w:t>有权顺延或拒绝支付对应款项，且不承担相关责任。因财政资金拨付不到位、流程等非</w:t>
      </w:r>
      <w:r>
        <w:rPr>
          <w:rFonts w:hint="eastAsia" w:ascii="仿宋" w:hAnsi="仿宋" w:eastAsia="仿宋" w:cs="仿宋"/>
          <w:bCs/>
          <w:color w:val="auto"/>
          <w:sz w:val="24"/>
          <w:lang w:val="en-US" w:eastAsia="zh-CN"/>
        </w:rPr>
        <w:t>采购人</w:t>
      </w:r>
      <w:r>
        <w:rPr>
          <w:rFonts w:hint="eastAsia" w:ascii="仿宋" w:hAnsi="仿宋" w:eastAsia="仿宋" w:cs="仿宋"/>
          <w:bCs/>
          <w:color w:val="auto"/>
          <w:sz w:val="24"/>
        </w:rPr>
        <w:t>原因导致付款延迟，或最终付款比例发生调整的，</w:t>
      </w:r>
      <w:r>
        <w:rPr>
          <w:rFonts w:hint="eastAsia" w:ascii="仿宋" w:hAnsi="仿宋" w:eastAsia="仿宋" w:cs="仿宋"/>
          <w:bCs/>
          <w:color w:val="auto"/>
          <w:sz w:val="24"/>
          <w:lang w:eastAsia="zh-CN"/>
        </w:rPr>
        <w:t>采购人</w:t>
      </w:r>
      <w:r>
        <w:rPr>
          <w:rFonts w:hint="eastAsia" w:ascii="仿宋" w:hAnsi="仿宋" w:eastAsia="仿宋" w:cs="仿宋"/>
          <w:bCs/>
          <w:color w:val="auto"/>
          <w:sz w:val="24"/>
        </w:rPr>
        <w:t>不构成逾期付款行为，不承担任何违约责任。</w:t>
      </w:r>
    </w:p>
    <w:p w14:paraId="1DCFFFBE">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4</w:t>
      </w:r>
      <w:r>
        <w:rPr>
          <w:rFonts w:hint="eastAsia" w:ascii="仿宋" w:hAnsi="仿宋" w:eastAsia="仿宋" w:cs="仿宋"/>
          <w:bCs/>
          <w:color w:val="auto"/>
          <w:sz w:val="24"/>
          <w:lang w:val="en-US" w:eastAsia="zh-CN"/>
        </w:rPr>
        <w:t>.</w:t>
      </w:r>
      <w:r>
        <w:rPr>
          <w:rFonts w:hint="eastAsia" w:ascii="仿宋" w:hAnsi="仿宋" w:eastAsia="仿宋" w:cs="仿宋"/>
          <w:bCs/>
          <w:color w:val="auto"/>
          <w:sz w:val="24"/>
          <w:lang w:eastAsia="zh-CN"/>
        </w:rPr>
        <w:t>中标人</w:t>
      </w:r>
      <w:r>
        <w:rPr>
          <w:rFonts w:hint="eastAsia" w:ascii="仿宋" w:hAnsi="仿宋" w:eastAsia="仿宋" w:cs="仿宋"/>
          <w:bCs/>
          <w:color w:val="auto"/>
          <w:sz w:val="24"/>
        </w:rPr>
        <w:t>应向</w:t>
      </w:r>
      <w:r>
        <w:rPr>
          <w:rFonts w:hint="eastAsia" w:ascii="仿宋" w:hAnsi="仿宋" w:eastAsia="仿宋" w:cs="仿宋"/>
          <w:bCs/>
          <w:color w:val="auto"/>
          <w:sz w:val="24"/>
          <w:lang w:eastAsia="zh-CN"/>
        </w:rPr>
        <w:t>采购人</w:t>
      </w:r>
      <w:r>
        <w:rPr>
          <w:rFonts w:hint="eastAsia" w:ascii="仿宋" w:hAnsi="仿宋" w:eastAsia="仿宋" w:cs="仿宋"/>
          <w:bCs/>
          <w:color w:val="auto"/>
          <w:sz w:val="24"/>
        </w:rPr>
        <w:t>提交相应的正规、合法发票。</w:t>
      </w:r>
    </w:p>
    <w:p w14:paraId="7C6141B9">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（三）包装和运输</w:t>
      </w:r>
    </w:p>
    <w:p w14:paraId="319B8AAC">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投标人应确保所有货物均按照相关标准（《关于印发〈商品包装政府采购需求标准（试行）〉、〈快递包装政府采购需求标准（试行）〉的通知》（财办库﹝2020﹞123号））进行妥善包装，以防止在运输和存储过程中受到损坏。包装材料需环保、可回收，并符合国家对包装物的环保要求。运输过程中，投标人应负责货物的安全，确保按时、无损地送达指定地点。</w:t>
      </w:r>
    </w:p>
    <w:p w14:paraId="55CD0B9F">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（四）售后服务（质保期）</w:t>
      </w:r>
    </w:p>
    <w:p w14:paraId="6DB1B67F">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质量保证期：</w:t>
      </w:r>
    </w:p>
    <w:p w14:paraId="7A710E41">
      <w:pPr>
        <w:tabs>
          <w:tab w:val="left" w:pos="5456"/>
        </w:tabs>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投标人须承诺为本项目所投</w:t>
      </w:r>
      <w:r>
        <w:rPr>
          <w:rFonts w:hint="eastAsia" w:ascii="仿宋" w:hAnsi="仿宋" w:eastAsia="仿宋" w:cs="仿宋"/>
          <w:color w:val="auto"/>
          <w:sz w:val="24"/>
          <w:lang w:val="en-US" w:eastAsia="zh-CN"/>
        </w:rPr>
        <w:t>硬件</w:t>
      </w:r>
      <w:r>
        <w:rPr>
          <w:rFonts w:hint="eastAsia" w:ascii="仿宋" w:hAnsi="仿宋" w:eastAsia="仿宋" w:cs="仿宋"/>
          <w:color w:val="auto"/>
          <w:sz w:val="24"/>
        </w:rPr>
        <w:t>设备提供不少于36个月质量保证服务</w:t>
      </w: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质保</w:t>
      </w:r>
      <w:r>
        <w:rPr>
          <w:rFonts w:hint="eastAsia" w:ascii="仿宋" w:hAnsi="仿宋" w:eastAsia="仿宋" w:cs="仿宋"/>
          <w:color w:val="auto"/>
          <w:sz w:val="24"/>
          <w:lang w:eastAsia="zh-CN"/>
        </w:rPr>
        <w:t>服务已包含在内。</w:t>
      </w:r>
      <w:r>
        <w:rPr>
          <w:rFonts w:hint="eastAsia" w:ascii="仿宋" w:hAnsi="仿宋" w:eastAsia="仿宋" w:cs="仿宋"/>
          <w:color w:val="auto"/>
          <w:sz w:val="24"/>
        </w:rPr>
        <w:t>质保期为自货物通过最终验收之日起</w:t>
      </w:r>
      <w:r>
        <w:rPr>
          <w:rFonts w:hint="eastAsia" w:ascii="仿宋" w:hAnsi="仿宋" w:eastAsia="仿宋" w:cs="仿宋"/>
          <w:color w:val="auto"/>
          <w:sz w:val="24"/>
          <w:lang w:val="en-US" w:eastAsia="zh-CN"/>
        </w:rPr>
        <w:t>不少于</w:t>
      </w:r>
      <w:r>
        <w:rPr>
          <w:rFonts w:hint="eastAsia" w:ascii="仿宋" w:hAnsi="仿宋" w:eastAsia="仿宋" w:cs="仿宋"/>
          <w:color w:val="auto"/>
          <w:sz w:val="24"/>
        </w:rPr>
        <w:t>36个月。</w:t>
      </w:r>
    </w:p>
    <w:p w14:paraId="38092851">
      <w:pPr>
        <w:tabs>
          <w:tab w:val="left" w:pos="5456"/>
        </w:tabs>
        <w:snapToGrid w:val="0"/>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质保期内投标人须提供每周7×24小时全天候技术服务保障；设备发生故障接报后工程师10分钟内响应，4小时内抵达项目现场，一般故障8小时内完成故障排查与修复，系统故障12小时内完成故障排查与修复。</w:t>
      </w:r>
    </w:p>
    <w:p w14:paraId="682B4A17">
      <w:pPr>
        <w:tabs>
          <w:tab w:val="left" w:pos="5456"/>
        </w:tabs>
        <w:snapToGrid w:val="0"/>
        <w:spacing w:line="360" w:lineRule="auto"/>
        <w:ind w:firstLine="480" w:firstLineChars="200"/>
        <w:rPr>
          <w:rFonts w:hint="eastAsia" w:ascii="仿宋" w:hAnsi="仿宋" w:eastAsia="仿宋" w:cs="仿宋"/>
          <w:color w:val="auto"/>
          <w:kern w:val="0"/>
          <w:sz w:val="24"/>
        </w:rPr>
      </w:pPr>
      <w:r>
        <w:rPr>
          <w:rFonts w:hint="eastAsia" w:ascii="仿宋" w:hAnsi="仿宋" w:eastAsia="仿宋" w:cs="仿宋"/>
          <w:color w:val="auto"/>
          <w:sz w:val="24"/>
        </w:rPr>
        <w:t>质保期内因产品自身质量问题产生的零部件更换、人工、交通等全部费用均由投标人承担，采购人无需支付任何费用。</w:t>
      </w:r>
    </w:p>
    <w:p w14:paraId="2A66E4A1">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color w:val="auto"/>
          <w:sz w:val="24"/>
        </w:rPr>
        <w:t>投标人须随投标文件提供质保承诺函，确保</w:t>
      </w:r>
      <w:r>
        <w:rPr>
          <w:rFonts w:hint="eastAsia" w:ascii="仿宋" w:hAnsi="仿宋" w:eastAsia="仿宋" w:cs="仿宋"/>
          <w:color w:val="auto"/>
          <w:sz w:val="24"/>
          <w:lang w:val="en-US" w:eastAsia="zh-CN"/>
        </w:rPr>
        <w:t>所投设备的</w:t>
      </w:r>
      <w:r>
        <w:rPr>
          <w:rFonts w:hint="eastAsia" w:ascii="仿宋" w:hAnsi="仿宋" w:eastAsia="仿宋" w:cs="仿宋"/>
          <w:color w:val="auto"/>
          <w:sz w:val="24"/>
        </w:rPr>
        <w:t>质保</w:t>
      </w:r>
      <w:r>
        <w:rPr>
          <w:rFonts w:hint="eastAsia" w:ascii="仿宋" w:hAnsi="仿宋" w:eastAsia="仿宋" w:cs="仿宋"/>
          <w:color w:val="auto"/>
          <w:sz w:val="24"/>
          <w:lang w:val="en-US" w:eastAsia="zh-CN"/>
        </w:rPr>
        <w:t>服务质量和期限满足上述所有要求。</w:t>
      </w:r>
    </w:p>
    <w:p w14:paraId="648348DE">
      <w:pPr>
        <w:snapToGrid w:val="0"/>
        <w:spacing w:line="360" w:lineRule="auto"/>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rPr>
        <w:t>三、技术要求</w:t>
      </w:r>
    </w:p>
    <w:p w14:paraId="7197268B">
      <w:pPr>
        <w:snapToGrid w:val="0"/>
        <w:spacing w:line="360" w:lineRule="auto"/>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rPr>
        <w:t>（一）基本要求</w:t>
      </w:r>
    </w:p>
    <w:p w14:paraId="0FF948C3">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1、采购标的需实现的功能或者目标</w:t>
      </w:r>
    </w:p>
    <w:p w14:paraId="0AD17C37">
      <w:pPr>
        <w:spacing w:line="360" w:lineRule="auto"/>
        <w:ind w:firstLine="480" w:firstLineChars="200"/>
        <w:rPr>
          <w:rFonts w:hint="eastAsia" w:ascii="仿宋" w:hAnsi="仿宋" w:eastAsia="仿宋" w:cs="仿宋"/>
          <w:color w:val="auto"/>
          <w:sz w:val="24"/>
          <w:lang w:eastAsia="zh-CN"/>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1</w:t>
      </w:r>
      <w:r>
        <w:rPr>
          <w:rFonts w:hint="eastAsia" w:ascii="仿宋" w:hAnsi="仿宋" w:eastAsia="仿宋" w:cs="仿宋"/>
          <w:color w:val="auto"/>
          <w:sz w:val="24"/>
          <w:lang w:eastAsia="zh-CN"/>
        </w:rPr>
        <w:t>）</w:t>
      </w:r>
      <w:r>
        <w:rPr>
          <w:rFonts w:hint="eastAsia" w:ascii="仿宋" w:hAnsi="仿宋" w:eastAsia="仿宋" w:cs="仿宋"/>
          <w:color w:val="auto"/>
          <w:sz w:val="24"/>
        </w:rPr>
        <w:t>应用服务器</w:t>
      </w:r>
      <w:r>
        <w:rPr>
          <w:rFonts w:hint="eastAsia" w:ascii="仿宋" w:hAnsi="仿宋" w:eastAsia="仿宋" w:cs="仿宋"/>
          <w:color w:val="auto"/>
          <w:sz w:val="24"/>
          <w:lang w:eastAsia="zh-CN"/>
        </w:rPr>
        <w:t>、</w:t>
      </w:r>
      <w:r>
        <w:rPr>
          <w:rFonts w:hint="eastAsia" w:ascii="仿宋" w:hAnsi="仿宋" w:eastAsia="仿宋" w:cs="仿宋"/>
          <w:color w:val="auto"/>
          <w:sz w:val="24"/>
        </w:rPr>
        <w:t>数据库服务器</w:t>
      </w:r>
      <w:r>
        <w:rPr>
          <w:rFonts w:hint="eastAsia" w:ascii="仿宋" w:hAnsi="仿宋" w:eastAsia="仿宋" w:cs="仿宋"/>
          <w:color w:val="auto"/>
          <w:sz w:val="24"/>
          <w:lang w:eastAsia="zh-CN"/>
        </w:rPr>
        <w:t>、</w:t>
      </w:r>
      <w:r>
        <w:rPr>
          <w:rFonts w:hint="eastAsia" w:ascii="仿宋" w:hAnsi="仿宋" w:eastAsia="仿宋" w:cs="仿宋"/>
          <w:color w:val="auto"/>
          <w:sz w:val="24"/>
        </w:rPr>
        <w:t>前置机</w:t>
      </w:r>
      <w:r>
        <w:rPr>
          <w:rFonts w:hint="eastAsia" w:ascii="仿宋" w:hAnsi="仿宋" w:eastAsia="仿宋" w:cs="仿宋"/>
          <w:color w:val="auto"/>
          <w:sz w:val="24"/>
          <w:lang w:val="en-US" w:eastAsia="zh-CN"/>
        </w:rPr>
        <w:t>用于</w:t>
      </w:r>
      <w:r>
        <w:rPr>
          <w:rFonts w:hint="eastAsia" w:ascii="仿宋" w:hAnsi="仿宋" w:eastAsia="仿宋" w:cs="仿宋"/>
          <w:color w:val="auto"/>
          <w:sz w:val="24"/>
        </w:rPr>
        <w:t>主机房-实验室全周期管理系统部署</w:t>
      </w:r>
      <w:r>
        <w:rPr>
          <w:rFonts w:hint="eastAsia" w:ascii="仿宋" w:hAnsi="仿宋" w:eastAsia="仿宋" w:cs="仿宋"/>
          <w:color w:val="auto"/>
          <w:sz w:val="24"/>
          <w:lang w:eastAsia="zh-CN"/>
        </w:rPr>
        <w:t>。</w:t>
      </w:r>
    </w:p>
    <w:p w14:paraId="7850FC05">
      <w:pPr>
        <w:spacing w:line="360" w:lineRule="auto"/>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2</w:t>
      </w:r>
      <w:r>
        <w:rPr>
          <w:rFonts w:hint="eastAsia" w:ascii="仿宋" w:hAnsi="仿宋" w:eastAsia="仿宋" w:cs="仿宋"/>
          <w:color w:val="auto"/>
          <w:sz w:val="24"/>
          <w:lang w:eastAsia="zh-CN"/>
        </w:rPr>
        <w:t>）86寸显示终端</w:t>
      </w:r>
      <w:r>
        <w:rPr>
          <w:rFonts w:hint="eastAsia" w:ascii="仿宋" w:hAnsi="仿宋" w:eastAsia="仿宋" w:cs="仿宋"/>
          <w:color w:val="auto"/>
          <w:sz w:val="24"/>
          <w:lang w:val="en-US" w:eastAsia="zh-CN"/>
        </w:rPr>
        <w:t>用于</w:t>
      </w:r>
      <w:r>
        <w:rPr>
          <w:rFonts w:hint="eastAsia" w:ascii="仿宋" w:hAnsi="仿宋" w:eastAsia="仿宋" w:cs="仿宋"/>
          <w:color w:val="auto"/>
          <w:sz w:val="24"/>
          <w:lang w:eastAsia="zh-CN"/>
        </w:rPr>
        <w:t>会议系统-显示设备，55寸信息展示终端3</w:t>
      </w:r>
      <w:r>
        <w:rPr>
          <w:rFonts w:hint="eastAsia" w:ascii="仿宋" w:hAnsi="仿宋" w:eastAsia="仿宋" w:cs="仿宋"/>
          <w:color w:val="auto"/>
          <w:sz w:val="24"/>
          <w:lang w:val="en-US" w:eastAsia="zh-CN"/>
        </w:rPr>
        <w:t>用于信息展示终端。</w:t>
      </w:r>
    </w:p>
    <w:p w14:paraId="50DC39B2">
      <w:pPr>
        <w:spacing w:line="360" w:lineRule="auto"/>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（3）UPS主机1、蓄电池1、电池架1用于主机房后备电源使用。</w:t>
      </w:r>
    </w:p>
    <w:p w14:paraId="479F0F1B">
      <w:pPr>
        <w:numPr>
          <w:ilvl w:val="0"/>
          <w:numId w:val="8"/>
        </w:numPr>
        <w:spacing w:line="360" w:lineRule="auto"/>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UPS主机2、蓄电池组2、蓄电池组架2用于消防安防控制室机房后备电源使用。</w:t>
      </w:r>
    </w:p>
    <w:p w14:paraId="16C9C31E">
      <w:pPr>
        <w:numPr>
          <w:ilvl w:val="0"/>
          <w:numId w:val="8"/>
        </w:numPr>
        <w:spacing w:line="360" w:lineRule="auto"/>
        <w:ind w:firstLine="480" w:firstLineChars="200"/>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服务器操作系统、数据库用于基础软件使用。</w:t>
      </w:r>
    </w:p>
    <w:p w14:paraId="0ED80D46">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2、需执行的国家相关标准、行业标准、地方标准或者其他标准、规范</w:t>
      </w:r>
    </w:p>
    <w:p w14:paraId="1278F482">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（1）《建筑设计防火规范》GB50016-2014；</w:t>
      </w:r>
    </w:p>
    <w:p w14:paraId="02DF5484">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（2）《数据中心设计规范》GB50174-2017；</w:t>
      </w:r>
    </w:p>
    <w:p w14:paraId="56FA349F">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（3）《公共建筑节能设计标准》GB50189-2015；</w:t>
      </w:r>
    </w:p>
    <w:p w14:paraId="720E1AED">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（4）《通信建筑工程设计规范》YD5003-2014；</w:t>
      </w:r>
    </w:p>
    <w:p w14:paraId="243CBB1C">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（5）《建筑内部装修设计防火规范》GB50222-2017；</w:t>
      </w:r>
    </w:p>
    <w:p w14:paraId="0C3FC850">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（6）《建筑地面设计规范》GB50037-2013；</w:t>
      </w:r>
    </w:p>
    <w:p w14:paraId="21F14056">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（7）《计算机场地通用规范》GB/T2887-2011；</w:t>
      </w:r>
    </w:p>
    <w:p w14:paraId="30B672A6">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（8）《民用建筑电气设计标准》GB51348-2019；</w:t>
      </w:r>
    </w:p>
    <w:p w14:paraId="5E919CA6">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（9）《供配电系统设计规范》GB50052-2009；</w:t>
      </w:r>
    </w:p>
    <w:p w14:paraId="13EBBE77">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（10）《建筑物电子信息系统防雷技术规范》GB50343-2012；</w:t>
      </w:r>
    </w:p>
    <w:p w14:paraId="071071C0">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（11）《低压配电设计规范》GB50054-2011；</w:t>
      </w:r>
    </w:p>
    <w:p w14:paraId="1C439437">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（12）《电力工程电缆设计标准》GB50217-2018；</w:t>
      </w:r>
    </w:p>
    <w:p w14:paraId="51E50FB7">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（13）《火灾自动报警系统设计规范》GB50116-2013。</w:t>
      </w:r>
    </w:p>
    <w:p w14:paraId="6A501806">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遇新标准或规范发布，按最新有效的标准和规范执行。</w:t>
      </w:r>
    </w:p>
    <w:p w14:paraId="66DB3DBA">
      <w:pPr>
        <w:pStyle w:val="6"/>
        <w:rPr>
          <w:rFonts w:hint="eastAsia" w:ascii="仿宋" w:hAnsi="仿宋" w:eastAsia="仿宋" w:cs="仿宋"/>
          <w:color w:val="auto"/>
        </w:rPr>
      </w:pPr>
    </w:p>
    <w:p w14:paraId="5359BEDB">
      <w:pPr>
        <w:snapToGrid w:val="0"/>
        <w:spacing w:line="360" w:lineRule="auto"/>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rPr>
        <w:t>（二）服务内容及要求/货物技术要求</w:t>
      </w:r>
    </w:p>
    <w:p w14:paraId="321CDCD1">
      <w:pPr>
        <w:snapToGrid w:val="0"/>
        <w:spacing w:line="360" w:lineRule="auto"/>
        <w:ind w:firstLine="480" w:firstLineChars="200"/>
        <w:rPr>
          <w:rFonts w:hint="eastAsia" w:ascii="仿宋" w:hAnsi="仿宋" w:eastAsia="仿宋" w:cs="仿宋"/>
          <w:b/>
          <w:color w:val="auto"/>
          <w:sz w:val="24"/>
        </w:rPr>
      </w:pPr>
      <w:r>
        <w:rPr>
          <w:rFonts w:hint="eastAsia" w:ascii="仿宋" w:hAnsi="仿宋" w:eastAsia="仿宋" w:cs="仿宋"/>
          <w:bCs/>
          <w:color w:val="auto"/>
          <w:sz w:val="24"/>
        </w:rPr>
        <w:t>1、采购标的需满足的性能、材料、结构、外观、质量、安全、技术规格、物理特性等要求：</w:t>
      </w:r>
      <w:bookmarkStart w:id="15" w:name="OLE_LINK53"/>
    </w:p>
    <w:p w14:paraId="41CC64B0">
      <w:pPr>
        <w:spacing w:line="360" w:lineRule="auto"/>
        <w:contextualSpacing/>
        <w:jc w:val="center"/>
        <w:rPr>
          <w:rFonts w:hint="eastAsia" w:ascii="仿宋" w:hAnsi="仿宋" w:eastAsia="仿宋" w:cs="仿宋"/>
          <w:b/>
          <w:color w:val="auto"/>
          <w:szCs w:val="21"/>
          <w:lang w:val="en-US" w:eastAsia="zh-CN"/>
        </w:rPr>
      </w:pPr>
    </w:p>
    <w:p w14:paraId="3283EE39">
      <w:pPr>
        <w:spacing w:line="360" w:lineRule="auto"/>
        <w:ind w:firstLine="482" w:firstLineChars="200"/>
        <w:contextualSpacing/>
        <w:rPr>
          <w:rFonts w:hint="eastAsia" w:ascii="仿宋" w:hAnsi="仿宋" w:eastAsia="仿宋" w:cs="仿宋"/>
          <w:b/>
          <w:bCs/>
          <w:color w:val="auto"/>
          <w:sz w:val="24"/>
        </w:rPr>
      </w:pPr>
      <w:r>
        <w:rPr>
          <w:rFonts w:hint="eastAsia" w:ascii="仿宋" w:hAnsi="仿宋" w:eastAsia="仿宋" w:cs="仿宋"/>
          <w:b/>
          <w:bCs/>
          <w:color w:val="auto"/>
          <w:sz w:val="24"/>
          <w:lang w:val="en-US" w:eastAsia="zh-CN"/>
        </w:rPr>
        <w:t xml:space="preserve">1.1 </w:t>
      </w:r>
      <w:r>
        <w:rPr>
          <w:rFonts w:hint="eastAsia" w:ascii="仿宋" w:hAnsi="仿宋" w:eastAsia="仿宋" w:cs="仿宋"/>
          <w:b/>
          <w:bCs/>
          <w:color w:val="auto"/>
          <w:sz w:val="24"/>
        </w:rPr>
        <w:t>技术需求</w:t>
      </w:r>
    </w:p>
    <w:bookmarkEnd w:id="15"/>
    <w:p w14:paraId="49DD04DC">
      <w:pPr>
        <w:spacing w:line="360" w:lineRule="auto"/>
        <w:ind w:firstLine="480" w:firstLineChars="200"/>
        <w:rPr>
          <w:rFonts w:hint="eastAsia" w:ascii="仿宋" w:hAnsi="仿宋" w:eastAsia="仿宋" w:cs="仿宋"/>
          <w:color w:val="auto"/>
          <w:sz w:val="24"/>
          <w:lang w:eastAsia="zh-CN"/>
        </w:rPr>
      </w:pPr>
      <w:r>
        <w:rPr>
          <w:rFonts w:hint="eastAsia" w:ascii="仿宋" w:hAnsi="仿宋" w:eastAsia="仿宋" w:cs="仿宋"/>
          <w:color w:val="auto"/>
          <w:sz w:val="24"/>
          <w:lang w:eastAsia="zh-CN"/>
        </w:rPr>
        <w:t>本项目所有软硬件设备及系统集成服务均需完整适配北京市疾控中心新址机房整体建设标准，全部硬件设备、基础软件需满足国产自主可控相关政策要求，服务器、数据库、操作系统均采用国产化产品，兼容项目现有业务系统底层架构，保障全周期管理系统、信息展示、会议会商、机房不间断供电等业务稳定运行，设备间通信、配电联动、数据交互无兼容性故障。</w:t>
      </w:r>
    </w:p>
    <w:p w14:paraId="335B02A4">
      <w:pPr>
        <w:spacing w:line="360" w:lineRule="auto"/>
        <w:ind w:firstLine="480" w:firstLineChars="200"/>
        <w:rPr>
          <w:rFonts w:hint="eastAsia" w:ascii="仿宋" w:hAnsi="仿宋" w:eastAsia="仿宋" w:cs="仿宋"/>
          <w:color w:val="auto"/>
          <w:sz w:val="24"/>
          <w:lang w:eastAsia="zh-CN"/>
        </w:rPr>
      </w:pPr>
      <w:r>
        <w:rPr>
          <w:rFonts w:hint="eastAsia" w:ascii="仿宋" w:hAnsi="仿宋" w:eastAsia="仿宋" w:cs="仿宋"/>
          <w:color w:val="auto"/>
          <w:sz w:val="24"/>
          <w:lang w:eastAsia="zh-CN"/>
        </w:rPr>
        <w:t>所有设备施工、布线、安装调试需严格遵循《数据中心设计规范》《民用建筑电气设计标准》等国家现行规范，UPS配电、</w:t>
      </w:r>
      <w:r>
        <w:rPr>
          <w:rFonts w:hint="eastAsia" w:ascii="仿宋" w:hAnsi="仿宋" w:eastAsia="仿宋" w:cs="仿宋"/>
          <w:color w:val="auto"/>
          <w:sz w:val="24"/>
          <w:lang w:val="en-US" w:eastAsia="zh-CN"/>
        </w:rPr>
        <w:t>蓄电池</w:t>
      </w:r>
      <w:r>
        <w:rPr>
          <w:rFonts w:hint="eastAsia" w:ascii="仿宋" w:hAnsi="仿宋" w:eastAsia="仿宋" w:cs="仿宋"/>
          <w:color w:val="auto"/>
          <w:sz w:val="24"/>
          <w:lang w:eastAsia="zh-CN"/>
        </w:rPr>
        <w:t>、显示终端布线分区规划清晰，强弱电管路分离敷设，同步配套完善的设备监控、故障告警、安全防护能力，项目整体交付后可实现机房动力、信息化业务统一运维管理，满足疾控业务 7×24 小时不间断稳定运行需求</w:t>
      </w:r>
    </w:p>
    <w:p w14:paraId="5300597D">
      <w:pPr>
        <w:numPr>
          <w:ilvl w:val="-1"/>
          <w:numId w:val="0"/>
        </w:numPr>
        <w:spacing w:line="360" w:lineRule="auto"/>
        <w:ind w:firstLine="482" w:firstLineChars="200"/>
        <w:contextualSpacing/>
        <w:rPr>
          <w:rStyle w:val="46"/>
          <w:rFonts w:hint="eastAsia" w:ascii="仿宋" w:hAnsi="仿宋" w:eastAsia="仿宋" w:cs="仿宋"/>
          <w:b/>
          <w:bCs/>
          <w:color w:val="auto"/>
          <w:sz w:val="24"/>
          <w:szCs w:val="24"/>
        </w:rPr>
      </w:pPr>
      <w:r>
        <w:rPr>
          <w:rFonts w:hint="eastAsia" w:ascii="仿宋" w:hAnsi="仿宋" w:eastAsia="仿宋" w:cs="仿宋"/>
          <w:b/>
          <w:bCs/>
          <w:color w:val="auto"/>
          <w:sz w:val="24"/>
          <w:lang w:eastAsia="zh-CN"/>
        </w:rPr>
        <w:t>1</w:t>
      </w:r>
      <w:r>
        <w:rPr>
          <w:rFonts w:hint="eastAsia" w:ascii="仿宋" w:hAnsi="仿宋" w:eastAsia="仿宋" w:cs="仿宋"/>
          <w:b/>
          <w:bCs/>
          <w:color w:val="auto"/>
          <w:sz w:val="24"/>
          <w:lang w:val="en-US" w:eastAsia="zh-CN"/>
        </w:rPr>
        <w:t xml:space="preserve">.2 </w:t>
      </w:r>
      <w:r>
        <w:rPr>
          <w:rFonts w:hint="eastAsia" w:ascii="仿宋" w:hAnsi="仿宋" w:eastAsia="仿宋" w:cs="仿宋"/>
          <w:b/>
          <w:bCs/>
          <w:color w:val="auto"/>
          <w:sz w:val="24"/>
        </w:rPr>
        <w:t>技术参数</w:t>
      </w:r>
    </w:p>
    <w:p w14:paraId="2C2E70DB">
      <w:pPr>
        <w:pStyle w:val="6"/>
        <w:rPr>
          <w:rFonts w:hint="default" w:ascii="仿宋" w:hAnsi="仿宋" w:eastAsia="仿宋" w:cs="仿宋"/>
          <w:b/>
          <w:bCs/>
          <w:i w:val="0"/>
          <w:iCs w:val="0"/>
          <w:color w:val="auto"/>
          <w:kern w:val="0"/>
          <w:sz w:val="20"/>
          <w:szCs w:val="20"/>
          <w:u w:val="none"/>
          <w:lang w:val="en-US" w:eastAsia="zh-CN" w:bidi="ar"/>
        </w:rPr>
      </w:pPr>
      <w:r>
        <w:rPr>
          <w:rStyle w:val="52"/>
          <w:rFonts w:hint="eastAsia" w:ascii="仿宋" w:hAnsi="仿宋" w:eastAsia="仿宋" w:cs="仿宋"/>
          <w:b/>
          <w:bCs/>
          <w:color w:val="auto"/>
          <w:sz w:val="24"/>
          <w:szCs w:val="24"/>
          <w:highlight w:val="none"/>
          <w:lang w:val="en-US" w:eastAsia="zh-CN"/>
        </w:rPr>
        <w:t xml:space="preserve">1.2.1 </w:t>
      </w:r>
      <w:r>
        <w:rPr>
          <w:rFonts w:hint="eastAsia" w:ascii="仿宋" w:hAnsi="仿宋" w:eastAsia="仿宋" w:cs="仿宋"/>
          <w:b/>
          <w:bCs/>
          <w:i w:val="0"/>
          <w:iCs w:val="0"/>
          <w:color w:val="auto"/>
          <w:kern w:val="0"/>
          <w:sz w:val="20"/>
          <w:szCs w:val="20"/>
          <w:highlight w:val="none"/>
          <w:u w:val="none"/>
          <w:lang w:val="en-US" w:eastAsia="zh-CN" w:bidi="ar"/>
        </w:rPr>
        <w:t>应用服务器</w:t>
      </w:r>
    </w:p>
    <w:tbl>
      <w:tblPr>
        <w:tblStyle w:val="43"/>
        <w:tblW w:w="90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5"/>
        <w:gridCol w:w="706"/>
        <w:gridCol w:w="1149"/>
        <w:gridCol w:w="4917"/>
        <w:gridCol w:w="1081"/>
      </w:tblGrid>
      <w:tr w14:paraId="641C7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047C">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序号</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A88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重要性</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797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指标项</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7AB7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指标要求</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8E7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证明材料要求</w:t>
            </w:r>
          </w:p>
        </w:tc>
      </w:tr>
      <w:tr w14:paraId="774ED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C169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A23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0F5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CPU</w:t>
            </w:r>
            <w:r>
              <w:rPr>
                <w:rStyle w:val="255"/>
                <w:lang w:val="en-US" w:eastAsia="zh-CN" w:bidi="ar"/>
              </w:rPr>
              <w:t xml:space="preserve"> 信息</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FA7F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供应商给出CPU</w:t>
            </w:r>
            <w:r>
              <w:rPr>
                <w:rStyle w:val="255"/>
                <w:lang w:val="en-US" w:eastAsia="zh-CN" w:bidi="ar"/>
              </w:rPr>
              <w:t xml:space="preserve"> 信息，包含 CPU 型号、物理核心数、主频、末级缓存容量、线程数、热设计功耗及支持内存的最高速率、通道数和位宽</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7131E">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eastAsia="zh-CN"/>
              </w:rPr>
            </w:pPr>
            <w:r>
              <w:rPr>
                <w:rFonts w:hint="eastAsia" w:ascii="仿宋" w:hAnsi="仿宋" w:eastAsia="仿宋" w:cs="仿宋"/>
                <w:i w:val="0"/>
                <w:iCs w:val="0"/>
                <w:color w:val="000000"/>
                <w:sz w:val="20"/>
                <w:szCs w:val="20"/>
                <w:u w:val="none"/>
                <w:lang w:eastAsia="zh-CN"/>
              </w:rPr>
              <w:t>否</w:t>
            </w:r>
          </w:p>
        </w:tc>
      </w:tr>
      <w:tr w14:paraId="20D2E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EF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B214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F774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主板支持的 CPU 和内存情况</w:t>
            </w:r>
          </w:p>
        </w:tc>
        <w:tc>
          <w:tcPr>
            <w:tcW w:w="4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32B9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供应商给出主板支持的CPU 和内存的型号数量</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3FF3E">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eastAsia="zh-CN"/>
              </w:rPr>
            </w:pPr>
            <w:r>
              <w:rPr>
                <w:rFonts w:hint="eastAsia" w:ascii="仿宋" w:hAnsi="仿宋" w:eastAsia="仿宋" w:cs="仿宋"/>
                <w:i w:val="0"/>
                <w:iCs w:val="0"/>
                <w:color w:val="000000"/>
                <w:sz w:val="20"/>
                <w:szCs w:val="20"/>
                <w:u w:val="none"/>
                <w:lang w:eastAsia="zh-CN"/>
              </w:rPr>
              <w:t>否</w:t>
            </w:r>
          </w:p>
        </w:tc>
      </w:tr>
      <w:tr w14:paraId="631F0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CD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191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1DEC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硬盘类型</w:t>
            </w:r>
          </w:p>
        </w:tc>
        <w:tc>
          <w:tcPr>
            <w:tcW w:w="4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4EE9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供应商给出服务器支持硬磁盘和固态盘类型及规格</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DF5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2E582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F3FF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329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4E3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整机规格-尺寸（高×宽×深）</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B982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供应商给出产品尺寸；</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设计应遵循标准化、系列化的要求；机箱的内部结构符合通用部件的安装需要</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27A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613DD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ED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5BB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EAD3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整机规格-服务器导轨</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8DF3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供应商给出导轨尺寸、安装方式等信息</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4C3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30958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B51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567C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1C2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整机规格-CPU 个数与机柜高度单位(U)比</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3CB5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供应商给出CPU 个数与机柜高度</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920A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5C706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242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DDD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D25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机柜尺寸</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5D3C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供应商给出长度、高度和深度</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70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030A1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12867">
            <w:pPr>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8</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C1EF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nil"/>
              <w:left w:val="nil"/>
              <w:bottom w:val="nil"/>
              <w:right w:val="nil"/>
            </w:tcBorders>
            <w:shd w:val="clear" w:color="auto" w:fill="auto"/>
            <w:noWrap/>
            <w:vAlign w:val="center"/>
          </w:tcPr>
          <w:p w14:paraId="6BCE441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CPU 主频</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FA71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≥2.0GHz（基准频率，非动态加速频率）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F23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5110F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828B7">
            <w:pPr>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9</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CEA2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20F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 CPU 核数</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E466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核数≥32</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ED4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4549A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6476D">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9027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764C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 CPU 线程数</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1FFE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线程数≥64</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A4F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522FB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D0908">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11</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5B80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CA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支持内存情况</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BF06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支持RDIMM内存，支持ECC(内存工作频率最高支持3200MHz)(需提供产品功能截图或产品彩页或白皮书或规格书或技术参数网页截图)</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4C4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213B4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71A86">
            <w:pPr>
              <w:jc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12</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3FF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779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内存数量</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219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7BD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1A3C1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7BF4D">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13</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EF98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F183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实配支持内存容量</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EBCD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最大支持4096GB</w:t>
            </w:r>
            <w:r>
              <w:rPr>
                <w:rStyle w:val="256"/>
                <w:lang w:val="en-US" w:eastAsia="zh-CN" w:bidi="ar"/>
              </w:rPr>
              <w:t>(需提供产品功能截图或产品彩页或白皮书或规格书或技术参数网页截图)</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423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3F970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1FCA6">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14</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A660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ADB2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硬盘实配</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22C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支持SATASSD+SATAHDD；容量不少于480GBx1+2TBx3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B85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512B7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9BDE6">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15</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62B7">
            <w:pPr>
              <w:jc w:val="center"/>
              <w:rPr>
                <w:rFonts w:hint="eastAsia" w:ascii="仿宋" w:hAnsi="仿宋" w:eastAsia="仿宋" w:cs="仿宋"/>
                <w:i w:val="0"/>
                <w:iCs w:val="0"/>
                <w:color w:val="000000"/>
                <w:sz w:val="20"/>
                <w:szCs w:val="20"/>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EC5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USB 接口</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B8409">
            <w:pPr>
              <w:keepNext w:val="0"/>
              <w:keepLines w:val="0"/>
              <w:widowControl/>
              <w:suppressLineNumbers w:val="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配备USB 2.0≥1个；USB3.0接口≥2个</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2C7F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6E879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8C6E2">
            <w:pPr>
              <w:jc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16</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035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E6DB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主板 PCIe插槽数量及规格</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232B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PCIe插槽或接口应不少于10 个，可通过扩展卡进行插槽扩展(需提供产品功能截图或产品彩页或白皮书或规格书或技术参数网页截图)</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7D86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13A52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F6F9">
            <w:pPr>
              <w:jc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17</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54B01">
            <w:pPr>
              <w:jc w:val="center"/>
              <w:rPr>
                <w:rFonts w:hint="eastAsia" w:ascii="仿宋" w:hAnsi="仿宋" w:eastAsia="仿宋" w:cs="仿宋"/>
                <w:i w:val="0"/>
                <w:iCs w:val="0"/>
                <w:color w:val="000000"/>
                <w:sz w:val="20"/>
                <w:szCs w:val="20"/>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74B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显示接口</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9711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≥1个VGA接口</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398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531C4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E3CA4">
            <w:pPr>
              <w:jc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18</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5BB1E">
            <w:pPr>
              <w:jc w:val="center"/>
              <w:rPr>
                <w:rFonts w:hint="eastAsia" w:ascii="仿宋" w:hAnsi="仿宋" w:eastAsia="仿宋" w:cs="仿宋"/>
                <w:i w:val="0"/>
                <w:iCs w:val="0"/>
                <w:color w:val="000000"/>
                <w:sz w:val="20"/>
                <w:szCs w:val="20"/>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2FF4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板载网络接口</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4DCB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≥2个1GE 网口</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70B6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20260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F7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396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71C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RAID卡功能</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95F3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支持RAID0/1/5/6/10/50/60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65C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2A312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88F69">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20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E3C64">
            <w:pPr>
              <w:rPr>
                <w:rFonts w:hint="eastAsia" w:ascii="仿宋" w:hAnsi="仿宋" w:eastAsia="仿宋" w:cs="仿宋"/>
                <w:i w:val="0"/>
                <w:iCs w:val="0"/>
                <w:color w:val="000000"/>
                <w:sz w:val="20"/>
                <w:szCs w:val="20"/>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033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其他接口</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E23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支持≥1个RJ-45管理接口位于机箱后部</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DD8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33E6C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6683D">
            <w:pPr>
              <w:jc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21</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FB62B">
            <w:pPr>
              <w:rPr>
                <w:rFonts w:hint="eastAsia" w:ascii="仿宋" w:hAnsi="仿宋" w:eastAsia="仿宋" w:cs="仿宋"/>
                <w:i w:val="0"/>
                <w:iCs w:val="0"/>
                <w:color w:val="000000"/>
                <w:sz w:val="20"/>
                <w:szCs w:val="20"/>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3F9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COM口</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43E3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支持≥1个COM口位于机箱后部</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3C9B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6AD5E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32783">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22</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1A0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FD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电源功率</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1839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≥550W×2</w:t>
            </w:r>
            <w:r>
              <w:rPr>
                <w:rStyle w:val="256"/>
                <w:lang w:val="en-US" w:eastAsia="zh-CN" w:bidi="ar"/>
              </w:rPr>
              <w:t>(需提供产品功能截图或产品彩页或白皮书或规格书或技术参数网页截图)</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29E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52E6A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B6E9">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23</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276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697A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投标承诺</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5669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投标承诺所投产品符合财政部、工信部发布的《通用服务器政府采购需求标准（2023年版）》中所有★指标要求，提供加盖投标人公章的承诺函，否则作无效投标处理。</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575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118CE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F3A15">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24</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914D6">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D54C0">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安全可靠</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D31C7">
            <w:pPr>
              <w:keepNext w:val="0"/>
              <w:keepLines w:val="0"/>
              <w:widowControl/>
              <w:suppressLineNumbers w:val="0"/>
              <w:jc w:val="left"/>
              <w:textAlignment w:val="center"/>
              <w:rPr>
                <w:rFonts w:hint="default" w:ascii="仿宋" w:hAnsi="仿宋" w:eastAsia="宋体"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u w:val="none"/>
                <w:lang w:val="en-US" w:eastAsia="zh-CN" w:bidi="ar"/>
              </w:rPr>
              <w:t>CPU 和操作系统等关键部件应当符合安全可靠测评要求；提供通过政府有关部门指定的中国信息安全测评中心和国家保密科技测评中心网站查看安全可靠测评结果的截图。</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A8541">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是</w:t>
            </w:r>
          </w:p>
        </w:tc>
      </w:tr>
    </w:tbl>
    <w:p w14:paraId="4E7BCFFB">
      <w:pPr>
        <w:pStyle w:val="6"/>
        <w:rPr>
          <w:rFonts w:hint="eastAsia" w:ascii="仿宋" w:hAnsi="仿宋" w:eastAsia="仿宋" w:cs="仿宋"/>
          <w:b/>
          <w:bCs/>
          <w:i w:val="0"/>
          <w:iCs w:val="0"/>
          <w:color w:val="auto"/>
          <w:kern w:val="0"/>
          <w:sz w:val="20"/>
          <w:szCs w:val="20"/>
          <w:u w:val="none"/>
          <w:lang w:val="en-US" w:eastAsia="zh-CN" w:bidi="ar"/>
        </w:rPr>
      </w:pPr>
    </w:p>
    <w:p w14:paraId="45EC3A73">
      <w:pPr>
        <w:pStyle w:val="6"/>
        <w:rPr>
          <w:rStyle w:val="52"/>
          <w:rFonts w:hint="eastAsia" w:ascii="仿宋" w:hAnsi="仿宋" w:eastAsia="仿宋" w:cs="仿宋"/>
          <w:b/>
          <w:bCs/>
          <w:color w:val="auto"/>
          <w:sz w:val="24"/>
          <w:szCs w:val="24"/>
          <w:lang w:val="en-US" w:eastAsia="zh-CN"/>
        </w:rPr>
      </w:pP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以上表格中</w:t>
      </w:r>
      <w:r>
        <w:rPr>
          <w:rFonts w:hint="eastAsia" w:ascii="宋体" w:hAnsi="宋体" w:eastAsia="宋体" w:cs="宋体"/>
          <w:color w:val="000000"/>
          <w:kern w:val="0"/>
          <w:sz w:val="24"/>
          <w:szCs w:val="24"/>
          <w:lang w:val="en-US" w:eastAsia="zh-CN" w:bidi="ar"/>
        </w:rPr>
        <w:t>涉及供应商给出的，需给</w:t>
      </w:r>
      <w:r>
        <w:rPr>
          <w:rFonts w:hint="eastAsia" w:hAnsi="宋体" w:cs="宋体"/>
          <w:color w:val="000000"/>
          <w:kern w:val="0"/>
          <w:sz w:val="24"/>
          <w:szCs w:val="24"/>
          <w:lang w:val="en-US" w:eastAsia="zh-CN" w:bidi="ar"/>
        </w:rPr>
        <w:t>投标人</w:t>
      </w:r>
      <w:r>
        <w:rPr>
          <w:rFonts w:hint="eastAsia" w:ascii="宋体" w:hAnsi="宋体" w:eastAsia="宋体" w:cs="宋体"/>
          <w:color w:val="000000"/>
          <w:kern w:val="0"/>
          <w:sz w:val="24"/>
          <w:szCs w:val="24"/>
          <w:lang w:val="en-US" w:eastAsia="zh-CN" w:bidi="ar"/>
        </w:rPr>
        <w:t>出具体数值等内容，否则作无效响应处理。</w:t>
      </w:r>
    </w:p>
    <w:p w14:paraId="73F40DF4">
      <w:pPr>
        <w:pStyle w:val="6"/>
        <w:rPr>
          <w:rStyle w:val="52"/>
          <w:rFonts w:hint="eastAsia" w:ascii="仿宋" w:hAnsi="仿宋" w:eastAsia="仿宋" w:cs="仿宋"/>
          <w:b/>
          <w:bCs/>
          <w:color w:val="auto"/>
          <w:sz w:val="24"/>
          <w:szCs w:val="24"/>
          <w:lang w:val="en-US" w:eastAsia="zh-CN"/>
        </w:rPr>
      </w:pPr>
    </w:p>
    <w:p w14:paraId="39472D2B">
      <w:pPr>
        <w:pStyle w:val="6"/>
        <w:rPr>
          <w:rFonts w:hint="eastAsia" w:ascii="仿宋" w:hAnsi="仿宋" w:eastAsia="仿宋" w:cs="仿宋"/>
          <w:b/>
          <w:bCs/>
          <w:i w:val="0"/>
          <w:iCs w:val="0"/>
          <w:color w:val="auto"/>
          <w:kern w:val="0"/>
          <w:sz w:val="20"/>
          <w:szCs w:val="20"/>
          <w:u w:val="none"/>
          <w:lang w:val="en-US" w:eastAsia="zh-CN" w:bidi="ar"/>
        </w:rPr>
      </w:pPr>
      <w:r>
        <w:rPr>
          <w:rStyle w:val="52"/>
          <w:rFonts w:hint="eastAsia" w:ascii="仿宋" w:hAnsi="仿宋" w:eastAsia="仿宋" w:cs="仿宋"/>
          <w:b/>
          <w:bCs/>
          <w:color w:val="auto"/>
          <w:sz w:val="24"/>
          <w:szCs w:val="24"/>
          <w:lang w:val="en-US" w:eastAsia="zh-CN"/>
        </w:rPr>
        <w:t>1.2</w:t>
      </w:r>
      <w:r>
        <w:rPr>
          <w:rStyle w:val="52"/>
          <w:rFonts w:hint="eastAsia" w:ascii="仿宋" w:hAnsi="仿宋" w:eastAsia="仿宋" w:cs="仿宋"/>
          <w:b/>
          <w:bCs/>
          <w:color w:val="auto"/>
          <w:sz w:val="24"/>
          <w:szCs w:val="24"/>
          <w:highlight w:val="none"/>
          <w:lang w:val="en-US" w:eastAsia="zh-CN"/>
        </w:rPr>
        <w:t xml:space="preserve">.2 </w:t>
      </w:r>
      <w:r>
        <w:rPr>
          <w:rFonts w:hint="eastAsia" w:ascii="仿宋" w:hAnsi="仿宋" w:eastAsia="仿宋" w:cs="仿宋"/>
          <w:b/>
          <w:bCs/>
          <w:i w:val="0"/>
          <w:iCs w:val="0"/>
          <w:color w:val="auto"/>
          <w:kern w:val="0"/>
          <w:sz w:val="20"/>
          <w:szCs w:val="20"/>
          <w:highlight w:val="none"/>
          <w:u w:val="none"/>
          <w:lang w:val="en-US" w:eastAsia="zh-CN" w:bidi="ar"/>
        </w:rPr>
        <w:t>数据库服务器</w:t>
      </w:r>
    </w:p>
    <w:tbl>
      <w:tblPr>
        <w:tblStyle w:val="43"/>
        <w:tblW w:w="906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15"/>
        <w:gridCol w:w="706"/>
        <w:gridCol w:w="1149"/>
        <w:gridCol w:w="4917"/>
        <w:gridCol w:w="1081"/>
      </w:tblGrid>
      <w:tr w14:paraId="21D59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21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2F85458">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序号</w:t>
            </w:r>
          </w:p>
        </w:tc>
        <w:tc>
          <w:tcPr>
            <w:tcW w:w="706" w:type="dxa"/>
            <w:tcBorders>
              <w:top w:val="single" w:color="000000" w:sz="8" w:space="0"/>
              <w:left w:val="nil"/>
              <w:bottom w:val="single" w:color="000000" w:sz="8" w:space="0"/>
              <w:right w:val="single" w:color="000000" w:sz="8" w:space="0"/>
            </w:tcBorders>
            <w:shd w:val="clear" w:color="auto" w:fill="auto"/>
            <w:noWrap/>
            <w:vAlign w:val="center"/>
          </w:tcPr>
          <w:p w14:paraId="3EAB64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重要性</w:t>
            </w:r>
          </w:p>
        </w:tc>
        <w:tc>
          <w:tcPr>
            <w:tcW w:w="1149" w:type="dxa"/>
            <w:tcBorders>
              <w:top w:val="single" w:color="000000" w:sz="8" w:space="0"/>
              <w:left w:val="nil"/>
              <w:bottom w:val="single" w:color="000000" w:sz="8" w:space="0"/>
              <w:right w:val="single" w:color="000000" w:sz="8" w:space="0"/>
            </w:tcBorders>
            <w:shd w:val="clear" w:color="auto" w:fill="auto"/>
            <w:noWrap/>
            <w:vAlign w:val="center"/>
          </w:tcPr>
          <w:p w14:paraId="2CA155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指标项</w:t>
            </w:r>
          </w:p>
        </w:tc>
        <w:tc>
          <w:tcPr>
            <w:tcW w:w="4917" w:type="dxa"/>
            <w:tcBorders>
              <w:top w:val="single" w:color="000000" w:sz="8" w:space="0"/>
              <w:left w:val="nil"/>
              <w:bottom w:val="single" w:color="000000" w:sz="8" w:space="0"/>
              <w:right w:val="single" w:color="000000" w:sz="8" w:space="0"/>
            </w:tcBorders>
            <w:shd w:val="clear" w:color="auto" w:fill="auto"/>
            <w:noWrap/>
            <w:vAlign w:val="center"/>
          </w:tcPr>
          <w:p w14:paraId="38BDAF2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响应指标</w:t>
            </w:r>
          </w:p>
        </w:tc>
        <w:tc>
          <w:tcPr>
            <w:tcW w:w="1081" w:type="dxa"/>
            <w:tcBorders>
              <w:top w:val="single" w:color="000000" w:sz="8" w:space="0"/>
              <w:left w:val="nil"/>
              <w:bottom w:val="single" w:color="000000" w:sz="8" w:space="0"/>
              <w:right w:val="single" w:color="000000" w:sz="8" w:space="0"/>
            </w:tcBorders>
            <w:shd w:val="clear" w:color="auto" w:fill="auto"/>
            <w:noWrap/>
            <w:vAlign w:val="center"/>
          </w:tcPr>
          <w:p w14:paraId="026830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证明材料要求</w:t>
            </w:r>
          </w:p>
        </w:tc>
      </w:tr>
      <w:tr w14:paraId="2501E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CCC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E5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89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CPU 信息</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361E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供应商给出CPU 信息，包含 CPU 型号、物理核心数、主频、末级缓存容量、线程数、热设计功耗及支持内存的最高速率、通道数和位宽</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9DC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5A889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484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70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2240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主板支持的 CPU 和内存情况</w:t>
            </w:r>
          </w:p>
        </w:tc>
        <w:tc>
          <w:tcPr>
            <w:tcW w:w="4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3119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供应商给出主板支持的CPU 和内存的型号数量</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B12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71D55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7CB5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B78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6D7B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硬盘类型</w:t>
            </w:r>
          </w:p>
        </w:tc>
        <w:tc>
          <w:tcPr>
            <w:tcW w:w="49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B2EC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供应商给出服务器支持硬磁盘和固态盘类型及规格</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E9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6C9AC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3D2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5A5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681F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整机规格-尺寸（高×宽×深）</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F65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供应商给出产品尺寸；</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设计应遵循标准化、系列化的要求；机箱的内部结构符合通用部件的安装需要</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E6C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0FD5E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AB9A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C4D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92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整机规格-服务器导轨</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F5E6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供应商给出导轨尺寸、安装方式等信息</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0A8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7C007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9B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D27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FC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整机规格-CPU 个数与机柜高度单位(U)比</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572A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供应商给出CPU 个数与机柜高度</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2F2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7A4E0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0B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F5D4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8A5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机柜尺寸</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E14C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供应商给出长度、高度和深度</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509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6C360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B0011">
            <w:pPr>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8</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92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nil"/>
              <w:left w:val="nil"/>
              <w:bottom w:val="nil"/>
              <w:right w:val="nil"/>
            </w:tcBorders>
            <w:shd w:val="clear" w:color="auto" w:fill="auto"/>
            <w:noWrap/>
            <w:vAlign w:val="center"/>
          </w:tcPr>
          <w:p w14:paraId="684D947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CPU 主频</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CA6D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≥2.2GHz（基准频率，非动态加速频率）</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8E1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123CC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82A6B">
            <w:pPr>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9</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FAE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D2C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 CPU 核数</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D9D8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核数≥24</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9FE7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6F533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8633">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36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DC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 CPU 线程数</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BE96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线程数≥48</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1F4D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2028A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nil"/>
              <w:left w:val="single" w:color="000000" w:sz="8" w:space="0"/>
              <w:bottom w:val="single" w:color="000000" w:sz="8" w:space="0"/>
              <w:right w:val="single" w:color="000000" w:sz="8" w:space="0"/>
            </w:tcBorders>
            <w:shd w:val="clear" w:color="auto" w:fill="auto"/>
            <w:vAlign w:val="center"/>
          </w:tcPr>
          <w:p w14:paraId="53C58654">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11</w:t>
            </w:r>
          </w:p>
        </w:tc>
        <w:tc>
          <w:tcPr>
            <w:tcW w:w="706" w:type="dxa"/>
            <w:tcBorders>
              <w:top w:val="nil"/>
              <w:left w:val="nil"/>
              <w:bottom w:val="single" w:color="000000" w:sz="8" w:space="0"/>
              <w:right w:val="single" w:color="000000" w:sz="8" w:space="0"/>
            </w:tcBorders>
            <w:shd w:val="clear" w:color="auto" w:fill="auto"/>
            <w:vAlign w:val="center"/>
          </w:tcPr>
          <w:p w14:paraId="65E5E1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nil"/>
              <w:left w:val="nil"/>
              <w:bottom w:val="single" w:color="000000" w:sz="8" w:space="0"/>
              <w:right w:val="single" w:color="000000" w:sz="8" w:space="0"/>
            </w:tcBorders>
            <w:shd w:val="clear" w:color="auto" w:fill="auto"/>
            <w:vAlign w:val="center"/>
          </w:tcPr>
          <w:p w14:paraId="11FAF9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实配CPU数量</w:t>
            </w:r>
          </w:p>
        </w:tc>
        <w:tc>
          <w:tcPr>
            <w:tcW w:w="4917" w:type="dxa"/>
            <w:tcBorders>
              <w:top w:val="nil"/>
              <w:left w:val="nil"/>
              <w:bottom w:val="single" w:color="000000" w:sz="8" w:space="0"/>
              <w:right w:val="single" w:color="000000" w:sz="8" w:space="0"/>
            </w:tcBorders>
            <w:shd w:val="clear" w:color="auto" w:fill="auto"/>
            <w:vAlign w:val="center"/>
          </w:tcPr>
          <w:p w14:paraId="7D52366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实配CPU数量≥2颗</w:t>
            </w:r>
          </w:p>
        </w:tc>
        <w:tc>
          <w:tcPr>
            <w:tcW w:w="1081" w:type="dxa"/>
            <w:tcBorders>
              <w:top w:val="nil"/>
              <w:left w:val="nil"/>
              <w:bottom w:val="single" w:color="000000" w:sz="8" w:space="0"/>
              <w:right w:val="single" w:color="000000" w:sz="8" w:space="0"/>
            </w:tcBorders>
            <w:shd w:val="clear" w:color="auto" w:fill="auto"/>
            <w:vAlign w:val="center"/>
          </w:tcPr>
          <w:p w14:paraId="23443F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384D4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F9C5C">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12</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D36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790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支持内存情况</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794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支持RDIMM内存，支持ECC(内存工作频率最高支持3200MHz)(需提供产品功能截图或产品彩页或白皮书或规格书或技术参数网页截图)</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1BB5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3B40F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477D">
            <w:pPr>
              <w:jc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13</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4D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FAA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内存数量</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5165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FBC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42E35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1987F">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14</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B84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4C7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实配支持内存容量</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9122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最大支持4096GB(需提供产品功能截图或产品彩页或白皮书或规格书或技术参数网页截图)</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EEA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01692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0A0CA">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15</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12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8D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硬盘实配</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4B69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支持SATASSD+SATAHDD；容量不少于480GBx1+2TBx3</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20E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017C4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866B1">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16</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6DBD">
            <w:pPr>
              <w:jc w:val="center"/>
              <w:rPr>
                <w:rFonts w:hint="eastAsia" w:ascii="仿宋" w:hAnsi="仿宋" w:eastAsia="仿宋" w:cs="仿宋"/>
                <w:i w:val="0"/>
                <w:iCs w:val="0"/>
                <w:color w:val="000000"/>
                <w:sz w:val="20"/>
                <w:szCs w:val="20"/>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924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USB 接口</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8E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配备USB 2.0≥1个；USB3.0接口≥2个</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62A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1E57E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3C095">
            <w:pPr>
              <w:jc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17</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8E2E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6C84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主板 PCIe插槽数量及规格</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9B2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PCIe插槽或接口应不少于10 个，可通过扩展卡进行插槽扩展(需提供产品功能截图或产品彩页或白皮书或规格书或技术参数网页截图)</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E7C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40A5F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27CCA">
            <w:pPr>
              <w:jc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18</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4E09A">
            <w:pPr>
              <w:jc w:val="center"/>
              <w:rPr>
                <w:rFonts w:hint="eastAsia" w:ascii="仿宋" w:hAnsi="仿宋" w:eastAsia="仿宋" w:cs="仿宋"/>
                <w:i w:val="0"/>
                <w:iCs w:val="0"/>
                <w:color w:val="000000"/>
                <w:sz w:val="20"/>
                <w:szCs w:val="20"/>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939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显示接口</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4588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≥1个VGA接口</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818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4DFB2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74323">
            <w:pPr>
              <w:jc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19</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C1729">
            <w:pPr>
              <w:jc w:val="center"/>
              <w:rPr>
                <w:rFonts w:hint="eastAsia" w:ascii="仿宋" w:hAnsi="仿宋" w:eastAsia="仿宋" w:cs="仿宋"/>
                <w:i w:val="0"/>
                <w:iCs w:val="0"/>
                <w:color w:val="000000"/>
                <w:sz w:val="20"/>
                <w:szCs w:val="20"/>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1B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板载网络接口</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E0C6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≥2个1GE 网口</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807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7493B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E1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1C12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8A1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RAID卡功能</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7C80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支持RAID0/1/5/6/10/50/60</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B5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35691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41D6">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21</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0E699">
            <w:pPr>
              <w:rPr>
                <w:rFonts w:hint="eastAsia" w:ascii="仿宋" w:hAnsi="仿宋" w:eastAsia="仿宋" w:cs="仿宋"/>
                <w:i w:val="0"/>
                <w:iCs w:val="0"/>
                <w:color w:val="000000"/>
                <w:sz w:val="20"/>
                <w:szCs w:val="20"/>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9656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其他接口</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F1FD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支持≥1个RJ-45管理接口位于机箱后部</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A53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06549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9BEB">
            <w:pPr>
              <w:jc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22</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65D98">
            <w:pPr>
              <w:rPr>
                <w:rFonts w:hint="eastAsia" w:ascii="仿宋" w:hAnsi="仿宋" w:eastAsia="仿宋" w:cs="仿宋"/>
                <w:i w:val="0"/>
                <w:iCs w:val="0"/>
                <w:color w:val="000000"/>
                <w:sz w:val="20"/>
                <w:szCs w:val="20"/>
                <w:u w:val="none"/>
              </w:rPr>
            </w:pP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CD3A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COM口</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E483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支持≥1个COM口位于机箱后部</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612B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1A9DF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5280">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23</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613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8ADF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电源功率</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33AC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≥550W×2(需提供产品功能截图或产品彩页或白皮书或规格书或技术参数网页截图)</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186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3B1A0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AB3D">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24</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6213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F596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投标承诺</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45B7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投标承诺所投产品符合财政部、工信部发布的《通用服务器政府采购需求标准（2023年版）》中所有★指标要求，提供加盖投标人公章的承诺函，否则作无效投标处理。</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8C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1C9EF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BD992">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25</w:t>
            </w:r>
          </w:p>
        </w:tc>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053CE">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w:t>
            </w:r>
          </w:p>
        </w:tc>
        <w:tc>
          <w:tcPr>
            <w:tcW w:w="11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517B7">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安全可靠</w:t>
            </w:r>
          </w:p>
        </w:tc>
        <w:tc>
          <w:tcPr>
            <w:tcW w:w="49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C21ED">
            <w:pPr>
              <w:keepNext w:val="0"/>
              <w:keepLines w:val="0"/>
              <w:widowControl/>
              <w:suppressLineNumbers w:val="0"/>
              <w:jc w:val="left"/>
              <w:textAlignment w:val="center"/>
              <w:rPr>
                <w:rFonts w:hint="eastAsia" w:ascii="仿宋" w:hAnsi="仿宋" w:eastAsia="宋体"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u w:val="none"/>
                <w:lang w:val="en-US" w:eastAsia="zh-CN" w:bidi="ar"/>
              </w:rPr>
              <w:t>CPU 和操作系统等关键部件应当符合安全可靠测评要求；提供通过政府有关部门指定的中国信息安全测评中心和国家保密科技测评中心网站查看安全可靠测评结果的截图。</w:t>
            </w:r>
          </w:p>
        </w:tc>
        <w:tc>
          <w:tcPr>
            <w:tcW w:w="10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037E5">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是</w:t>
            </w:r>
          </w:p>
        </w:tc>
      </w:tr>
    </w:tbl>
    <w:p w14:paraId="1316F002">
      <w:pPr>
        <w:pStyle w:val="6"/>
        <w:rPr>
          <w:rFonts w:hint="eastAsia" w:ascii="宋体" w:hAnsi="宋体" w:eastAsia="宋体" w:cs="宋体"/>
          <w:color w:val="000000"/>
          <w:kern w:val="0"/>
          <w:sz w:val="24"/>
          <w:szCs w:val="24"/>
          <w:lang w:val="en-US" w:eastAsia="zh-CN" w:bidi="ar"/>
        </w:rPr>
      </w:pPr>
    </w:p>
    <w:p w14:paraId="004F0B2C">
      <w:pPr>
        <w:pStyle w:val="6"/>
        <w:rPr>
          <w:rStyle w:val="52"/>
          <w:rFonts w:hint="eastAsia" w:ascii="仿宋" w:hAnsi="仿宋" w:eastAsia="仿宋" w:cs="仿宋"/>
          <w:b/>
          <w:bCs/>
          <w:color w:val="auto"/>
          <w:sz w:val="24"/>
          <w:szCs w:val="24"/>
          <w:lang w:val="en-US" w:eastAsia="zh-CN"/>
        </w:rPr>
      </w:pP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以上表格中</w:t>
      </w:r>
      <w:r>
        <w:rPr>
          <w:rFonts w:hint="eastAsia" w:ascii="宋体" w:hAnsi="宋体" w:eastAsia="宋体" w:cs="宋体"/>
          <w:color w:val="000000"/>
          <w:kern w:val="0"/>
          <w:sz w:val="24"/>
          <w:szCs w:val="24"/>
          <w:lang w:val="en-US" w:eastAsia="zh-CN" w:bidi="ar"/>
        </w:rPr>
        <w:t>涉及供应商给出的，需</w:t>
      </w:r>
      <w:r>
        <w:rPr>
          <w:rFonts w:hint="eastAsia" w:hAnsi="宋体" w:cs="宋体"/>
          <w:color w:val="000000"/>
          <w:kern w:val="0"/>
          <w:sz w:val="24"/>
          <w:szCs w:val="24"/>
          <w:lang w:val="en-US" w:eastAsia="zh-CN" w:bidi="ar"/>
        </w:rPr>
        <w:t>投标人</w:t>
      </w:r>
      <w:r>
        <w:rPr>
          <w:rFonts w:hint="eastAsia" w:ascii="宋体" w:hAnsi="宋体" w:eastAsia="宋体" w:cs="宋体"/>
          <w:color w:val="000000"/>
          <w:kern w:val="0"/>
          <w:sz w:val="24"/>
          <w:szCs w:val="24"/>
          <w:lang w:val="en-US" w:eastAsia="zh-CN" w:bidi="ar"/>
        </w:rPr>
        <w:t>给出具体数值等内容，否则作无效响应处理。</w:t>
      </w:r>
    </w:p>
    <w:p w14:paraId="26E7DA64">
      <w:pPr>
        <w:pStyle w:val="6"/>
        <w:rPr>
          <w:rFonts w:hint="eastAsia" w:ascii="仿宋" w:hAnsi="仿宋" w:eastAsia="仿宋" w:cs="仿宋"/>
          <w:b/>
          <w:bCs/>
          <w:i w:val="0"/>
          <w:iCs w:val="0"/>
          <w:color w:val="auto"/>
          <w:kern w:val="0"/>
          <w:sz w:val="20"/>
          <w:szCs w:val="20"/>
          <w:u w:val="none"/>
          <w:lang w:val="en-US" w:eastAsia="zh-CN" w:bidi="ar"/>
        </w:rPr>
      </w:pPr>
    </w:p>
    <w:p w14:paraId="47F6D1A1">
      <w:pPr>
        <w:pStyle w:val="6"/>
        <w:rPr>
          <w:rFonts w:hint="eastAsia" w:ascii="仿宋" w:hAnsi="仿宋" w:eastAsia="仿宋" w:cs="仿宋"/>
          <w:b/>
          <w:bCs/>
          <w:i w:val="0"/>
          <w:iCs w:val="0"/>
          <w:color w:val="auto"/>
          <w:kern w:val="0"/>
          <w:sz w:val="20"/>
          <w:szCs w:val="20"/>
          <w:u w:val="none"/>
          <w:lang w:val="en-US" w:eastAsia="zh-CN" w:bidi="ar"/>
        </w:rPr>
      </w:pPr>
    </w:p>
    <w:p w14:paraId="59C084E3">
      <w:pPr>
        <w:pStyle w:val="6"/>
        <w:rPr>
          <w:rFonts w:hint="eastAsia" w:ascii="仿宋" w:hAnsi="仿宋" w:eastAsia="仿宋" w:cs="仿宋"/>
          <w:b/>
          <w:bCs/>
          <w:i w:val="0"/>
          <w:iCs w:val="0"/>
          <w:color w:val="auto"/>
          <w:kern w:val="0"/>
          <w:sz w:val="20"/>
          <w:szCs w:val="20"/>
          <w:highlight w:val="none"/>
          <w:u w:val="none"/>
          <w:lang w:val="en-US" w:eastAsia="zh-CN" w:bidi="ar"/>
        </w:rPr>
      </w:pPr>
      <w:r>
        <w:rPr>
          <w:rStyle w:val="52"/>
          <w:rFonts w:hint="eastAsia" w:ascii="仿宋" w:hAnsi="仿宋" w:eastAsia="仿宋" w:cs="仿宋"/>
          <w:b/>
          <w:bCs/>
          <w:color w:val="auto"/>
          <w:sz w:val="24"/>
          <w:szCs w:val="24"/>
          <w:highlight w:val="none"/>
          <w:lang w:val="en-US" w:eastAsia="zh-CN"/>
        </w:rPr>
        <w:t xml:space="preserve">1.2.3 </w:t>
      </w:r>
      <w:r>
        <w:rPr>
          <w:rFonts w:hint="eastAsia" w:ascii="仿宋" w:hAnsi="仿宋" w:eastAsia="仿宋" w:cs="仿宋"/>
          <w:b/>
          <w:bCs/>
          <w:i w:val="0"/>
          <w:iCs w:val="0"/>
          <w:color w:val="auto"/>
          <w:kern w:val="0"/>
          <w:sz w:val="20"/>
          <w:szCs w:val="20"/>
          <w:highlight w:val="none"/>
          <w:u w:val="none"/>
          <w:lang w:val="en-US" w:eastAsia="zh-CN" w:bidi="ar"/>
        </w:rPr>
        <w:t>前置机</w:t>
      </w:r>
    </w:p>
    <w:tbl>
      <w:tblPr>
        <w:tblStyle w:val="43"/>
        <w:tblW w:w="909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96"/>
        <w:gridCol w:w="996"/>
        <w:gridCol w:w="1357"/>
        <w:gridCol w:w="4519"/>
        <w:gridCol w:w="1225"/>
      </w:tblGrid>
      <w:tr w14:paraId="5D023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43195">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序号</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D53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重要性</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47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指标项</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8953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指标要求</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9A7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证明材料要求</w:t>
            </w:r>
          </w:p>
        </w:tc>
      </w:tr>
      <w:tr w14:paraId="26599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8F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BCE1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64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CPU 信息</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153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供应商给出CPU 信息，包含 CPU 型号、物理核心数、主频、末级缓存容量、线程数、热设计功耗及支持内存的最高速率、通道数和位宽</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A0C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7FF2F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1C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64D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2AA5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主板支持的 CPU 和内存情况</w:t>
            </w:r>
          </w:p>
        </w:tc>
        <w:tc>
          <w:tcPr>
            <w:tcW w:w="4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01E2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供应商给出主板支持的CPU 和内存的型号数量</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648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2F162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3E10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D20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19F2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硬盘类型</w:t>
            </w:r>
          </w:p>
        </w:tc>
        <w:tc>
          <w:tcPr>
            <w:tcW w:w="45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0684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供应商给出服务器支持硬磁盘和固态盘类型及规格</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7CF2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3CD21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5E0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EBBB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3005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整机规格-尺寸（高×宽×深）</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9F7D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供应商给出产品尺寸；</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设计应遵循标准化、系列化的要求；机箱的内部结构符合通用部件的安装需要</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D75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4F679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99C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ED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0B9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整机规格-服务器导轨</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0E32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供应商给出导轨尺寸、安装方式等信息</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740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1670D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4C6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44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326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整机规格-CPU 个数与机柜高度单位(U)比</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897A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供应商给出CPU 个数与机柜高度</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24D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6FD75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861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855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AEB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机柜尺寸</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823D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供应商给出长度、高度和深度</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4D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1FE90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9830">
            <w:pPr>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8</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11B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57" w:type="dxa"/>
            <w:tcBorders>
              <w:top w:val="nil"/>
              <w:left w:val="nil"/>
              <w:bottom w:val="nil"/>
              <w:right w:val="nil"/>
            </w:tcBorders>
            <w:shd w:val="clear" w:color="auto" w:fill="auto"/>
            <w:noWrap/>
            <w:vAlign w:val="center"/>
          </w:tcPr>
          <w:p w14:paraId="4D94A5C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CPU 主频</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0B40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≥2.0GHz（基准频率，非动态加速频率）</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09F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21407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9E295">
            <w:pPr>
              <w:jc w:val="center"/>
              <w:rPr>
                <w:rFonts w:hint="eastAsia"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9</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DA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6338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 CPU 核数</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03A2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核数≥32</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148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57094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8D819">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B5C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F3E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 CPU 线程数</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6317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线程数≥64</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3842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65A1D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81CAB">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11</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5A8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334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支持内存情况</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C5C3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支持RDIMM内存，支持ECC(内存工作频率最高支持3200MHz)(需提供产品功能截图或产品彩页或白皮书或规格书或技术参数网页截图)</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C52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728A1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53903">
            <w:pPr>
              <w:jc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12</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1256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30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内存数量</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7021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5B7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0B604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5CFBD">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13</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937E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7A65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实配支持内存容量</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D139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最大支持4096GB(需提供产品功能截图或产品彩页或白皮书或规格书或技术参数网页截图)</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D3E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61199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500F5">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14</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9B0B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8F5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硬盘实配</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0C0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支持SATASSD+SATAHDD；容量不少于480GBx1+2TBx3</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2ACC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30776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E97BA">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15</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69330">
            <w:pPr>
              <w:jc w:val="center"/>
              <w:rPr>
                <w:rFonts w:hint="eastAsia" w:ascii="仿宋" w:hAnsi="仿宋" w:eastAsia="仿宋" w:cs="仿宋"/>
                <w:i w:val="0"/>
                <w:iCs w:val="0"/>
                <w:color w:val="000000"/>
                <w:sz w:val="20"/>
                <w:szCs w:val="20"/>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A37D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USB 接口</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F06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配备USB 2.0≥1个；USB3.0接口≥2个</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B87C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34082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FCCC">
            <w:pPr>
              <w:jc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16</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2DF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9F8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主板 PCIe插槽数量及规格</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D90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PCIe插槽或接口应不少于10 个，可通过扩展卡进行插槽扩展(需提供产品功能截图或产品彩页或白皮书或规格书或技术参数网页截图)</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5C0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04E45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AD308">
            <w:pPr>
              <w:jc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17</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7495F">
            <w:pPr>
              <w:jc w:val="center"/>
              <w:rPr>
                <w:rFonts w:hint="eastAsia" w:ascii="仿宋" w:hAnsi="仿宋" w:eastAsia="仿宋" w:cs="仿宋"/>
                <w:i w:val="0"/>
                <w:iCs w:val="0"/>
                <w:color w:val="000000"/>
                <w:sz w:val="20"/>
                <w:szCs w:val="20"/>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F6E9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显示接口</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C816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≥1个VGA接口</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E17E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7E1B2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A6B2">
            <w:pPr>
              <w:jc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18</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D1C2">
            <w:pPr>
              <w:jc w:val="center"/>
              <w:rPr>
                <w:rFonts w:hint="eastAsia" w:ascii="仿宋" w:hAnsi="仿宋" w:eastAsia="仿宋" w:cs="仿宋"/>
                <w:i w:val="0"/>
                <w:iCs w:val="0"/>
                <w:color w:val="000000"/>
                <w:sz w:val="20"/>
                <w:szCs w:val="20"/>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414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板载网络接口</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EA3C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≥2个1GE 网口</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666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587D7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50A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19</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A8D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8AA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RAID卡功能</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FC0B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支持RAID0/1/5/6/10/50/60</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EC50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0683B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9179E">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20</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E0471">
            <w:pPr>
              <w:rPr>
                <w:rFonts w:hint="eastAsia" w:ascii="仿宋" w:hAnsi="仿宋" w:eastAsia="仿宋" w:cs="仿宋"/>
                <w:i w:val="0"/>
                <w:iCs w:val="0"/>
                <w:color w:val="000000"/>
                <w:sz w:val="20"/>
                <w:szCs w:val="20"/>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5A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其他接口</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0F3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支持≥1个RJ-45管理接口位于机箱后部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EC9D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766FF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046A">
            <w:pPr>
              <w:jc w:val="center"/>
              <w:rPr>
                <w:rFonts w:hint="default" w:ascii="仿宋" w:hAnsi="仿宋" w:eastAsia="仿宋" w:cs="仿宋"/>
                <w:i w:val="0"/>
                <w:iCs w:val="0"/>
                <w:color w:val="000000"/>
                <w:sz w:val="20"/>
                <w:szCs w:val="20"/>
                <w:u w:val="none"/>
                <w:lang w:val="en-US" w:eastAsia="zh-CN"/>
              </w:rPr>
            </w:pPr>
            <w:r>
              <w:rPr>
                <w:rFonts w:hint="eastAsia" w:ascii="仿宋" w:hAnsi="仿宋" w:eastAsia="仿宋" w:cs="仿宋"/>
                <w:i w:val="0"/>
                <w:iCs w:val="0"/>
                <w:color w:val="000000"/>
                <w:sz w:val="20"/>
                <w:szCs w:val="20"/>
                <w:u w:val="none"/>
                <w:lang w:val="en-US" w:eastAsia="zh-CN"/>
              </w:rPr>
              <w:t>21</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CED9">
            <w:pPr>
              <w:rPr>
                <w:rFonts w:hint="eastAsia" w:ascii="仿宋" w:hAnsi="仿宋" w:eastAsia="仿宋" w:cs="仿宋"/>
                <w:i w:val="0"/>
                <w:iCs w:val="0"/>
                <w:color w:val="000000"/>
                <w:sz w:val="20"/>
                <w:szCs w:val="20"/>
                <w:u w:val="none"/>
              </w:rPr>
            </w:pP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5A2E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COM口</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6392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支持≥1个COM口位于机箱后部</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2951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25424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42A08">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22</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6CA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393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电源功率</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3943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≥550W×2(需提供产品功能截图或产品彩页或白皮书或规格书或技术参数网页截图)</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3AE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60BA5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7470B">
            <w:pPr>
              <w:keepNext w:val="0"/>
              <w:keepLines w:val="0"/>
              <w:widowControl/>
              <w:suppressLineNumbers w:val="0"/>
              <w:jc w:val="center"/>
              <w:textAlignment w:val="center"/>
              <w:rPr>
                <w:rFonts w:hint="default" w:ascii="仿宋" w:hAnsi="仿宋" w:eastAsia="仿宋" w:cs="仿宋"/>
                <w:i w:val="0"/>
                <w:iCs w:val="0"/>
                <w:color w:val="000000"/>
                <w:sz w:val="20"/>
                <w:szCs w:val="20"/>
                <w:u w:val="none"/>
                <w:lang w:val="en-US"/>
              </w:rPr>
            </w:pPr>
            <w:r>
              <w:rPr>
                <w:rFonts w:hint="eastAsia" w:ascii="仿宋" w:hAnsi="仿宋" w:eastAsia="仿宋" w:cs="仿宋"/>
                <w:i w:val="0"/>
                <w:iCs w:val="0"/>
                <w:color w:val="000000"/>
                <w:kern w:val="0"/>
                <w:sz w:val="20"/>
                <w:szCs w:val="20"/>
                <w:u w:val="none"/>
                <w:lang w:val="en-US" w:eastAsia="zh-CN" w:bidi="ar"/>
              </w:rPr>
              <w:t>23</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1BC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339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投标承诺</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22E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投标承诺所投产品符合财政部、工信部发布的《通用服务器政府采购需求标准（2023年版）》中所有★指标要求，提供加盖投标人公章的承诺函，否则作无效投标处理。</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6B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4ECF6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DFA36">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24</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51A37">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w:t>
            </w:r>
          </w:p>
        </w:tc>
        <w:tc>
          <w:tcPr>
            <w:tcW w:w="13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4781">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安全可靠</w:t>
            </w:r>
          </w:p>
        </w:tc>
        <w:tc>
          <w:tcPr>
            <w:tcW w:w="4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23B40">
            <w:pPr>
              <w:keepNext w:val="0"/>
              <w:keepLines w:val="0"/>
              <w:widowControl/>
              <w:suppressLineNumbers w:val="0"/>
              <w:jc w:val="left"/>
              <w:textAlignment w:val="center"/>
              <w:rPr>
                <w:rFonts w:hint="eastAsia" w:ascii="仿宋" w:hAnsi="仿宋" w:eastAsia="宋体"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u w:val="none"/>
                <w:lang w:val="en-US" w:eastAsia="zh-CN" w:bidi="ar"/>
              </w:rPr>
              <w:t>CPU 和操作系统等关键部件应当符合安全可靠测评要求；提供通过政府有关部门指定的中国信息安全测评中心和国家保密科技测评中心网站查看安全可靠测评结果的截图。</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BDF7E">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是</w:t>
            </w:r>
          </w:p>
        </w:tc>
      </w:tr>
    </w:tbl>
    <w:p w14:paraId="15ABF0BB">
      <w:pPr>
        <w:pStyle w:val="6"/>
        <w:rPr>
          <w:rFonts w:hint="default" w:ascii="仿宋" w:hAnsi="仿宋" w:eastAsia="仿宋" w:cs="仿宋"/>
          <w:b/>
          <w:bCs/>
          <w:i w:val="0"/>
          <w:iCs w:val="0"/>
          <w:color w:val="auto"/>
          <w:kern w:val="0"/>
          <w:sz w:val="20"/>
          <w:szCs w:val="20"/>
          <w:u w:val="none"/>
          <w:lang w:val="en-US" w:eastAsia="zh-CN" w:bidi="ar"/>
        </w:rPr>
      </w:pPr>
    </w:p>
    <w:p w14:paraId="553ECBC2">
      <w:pPr>
        <w:pStyle w:val="6"/>
        <w:rPr>
          <w:rStyle w:val="52"/>
          <w:rFonts w:hint="eastAsia" w:ascii="仿宋" w:hAnsi="仿宋" w:eastAsia="仿宋" w:cs="仿宋"/>
          <w:b/>
          <w:bCs/>
          <w:color w:val="auto"/>
          <w:sz w:val="24"/>
          <w:szCs w:val="24"/>
          <w:lang w:val="en-US" w:eastAsia="zh-CN"/>
        </w:rPr>
      </w:pPr>
      <w:r>
        <w:rPr>
          <w:rFonts w:hint="eastAsia" w:ascii="宋体" w:hAnsi="宋体" w:eastAsia="宋体" w:cs="宋体"/>
          <w:color w:val="000000"/>
          <w:kern w:val="0"/>
          <w:sz w:val="24"/>
          <w:szCs w:val="24"/>
          <w:lang w:val="en-US" w:eastAsia="zh-CN" w:bidi="ar"/>
        </w:rPr>
        <w:t>★</w:t>
      </w:r>
      <w:r>
        <w:rPr>
          <w:rFonts w:hint="eastAsia" w:ascii="宋体" w:hAnsi="宋体" w:cs="宋体"/>
          <w:color w:val="000000"/>
          <w:kern w:val="0"/>
          <w:sz w:val="24"/>
          <w:szCs w:val="24"/>
          <w:lang w:val="en-US" w:eastAsia="zh-CN" w:bidi="ar"/>
        </w:rPr>
        <w:t>以上表格中</w:t>
      </w:r>
      <w:r>
        <w:rPr>
          <w:rFonts w:hint="eastAsia" w:ascii="宋体" w:hAnsi="宋体" w:eastAsia="宋体" w:cs="宋体"/>
          <w:color w:val="000000"/>
          <w:kern w:val="0"/>
          <w:sz w:val="24"/>
          <w:szCs w:val="24"/>
          <w:lang w:val="en-US" w:eastAsia="zh-CN" w:bidi="ar"/>
        </w:rPr>
        <w:t>涉及供应商给出的，需</w:t>
      </w:r>
      <w:r>
        <w:rPr>
          <w:rFonts w:hint="eastAsia" w:hAnsi="宋体" w:cs="宋体"/>
          <w:color w:val="000000"/>
          <w:kern w:val="0"/>
          <w:sz w:val="24"/>
          <w:szCs w:val="24"/>
          <w:lang w:val="en-US" w:eastAsia="zh-CN" w:bidi="ar"/>
        </w:rPr>
        <w:t>投标人</w:t>
      </w:r>
      <w:r>
        <w:rPr>
          <w:rFonts w:hint="eastAsia" w:ascii="宋体" w:hAnsi="宋体" w:eastAsia="宋体" w:cs="宋体"/>
          <w:color w:val="000000"/>
          <w:kern w:val="0"/>
          <w:sz w:val="24"/>
          <w:szCs w:val="24"/>
          <w:lang w:val="en-US" w:eastAsia="zh-CN" w:bidi="ar"/>
        </w:rPr>
        <w:t>给出具体数值等内容，否则作无效响应处理。</w:t>
      </w:r>
    </w:p>
    <w:p w14:paraId="7EDEE961">
      <w:pPr>
        <w:pStyle w:val="6"/>
        <w:rPr>
          <w:rStyle w:val="52"/>
          <w:rFonts w:hint="eastAsia" w:ascii="仿宋" w:hAnsi="仿宋" w:eastAsia="仿宋" w:cs="仿宋"/>
          <w:b/>
          <w:bCs/>
          <w:color w:val="auto"/>
          <w:sz w:val="24"/>
          <w:szCs w:val="24"/>
          <w:lang w:val="en-US" w:eastAsia="zh-CN"/>
        </w:rPr>
      </w:pPr>
    </w:p>
    <w:p w14:paraId="0070D29B">
      <w:pPr>
        <w:pStyle w:val="6"/>
        <w:rPr>
          <w:rFonts w:hint="eastAsia" w:ascii="仿宋" w:hAnsi="仿宋" w:eastAsia="仿宋" w:cs="仿宋"/>
          <w:color w:val="auto"/>
          <w:kern w:val="0"/>
          <w:sz w:val="24"/>
          <w:lang w:eastAsia="zh-CN"/>
        </w:rPr>
      </w:pPr>
      <w:r>
        <w:rPr>
          <w:rStyle w:val="52"/>
          <w:rFonts w:hint="eastAsia" w:ascii="仿宋" w:hAnsi="仿宋" w:eastAsia="仿宋" w:cs="仿宋"/>
          <w:b/>
          <w:bCs/>
          <w:color w:val="auto"/>
          <w:sz w:val="24"/>
          <w:szCs w:val="24"/>
          <w:lang w:val="en-US" w:eastAsia="zh-CN"/>
        </w:rPr>
        <w:t xml:space="preserve">1.2.4  </w:t>
      </w:r>
      <w:r>
        <w:rPr>
          <w:rFonts w:hint="eastAsia" w:ascii="仿宋" w:hAnsi="仿宋" w:eastAsia="仿宋" w:cs="仿宋"/>
          <w:i w:val="0"/>
          <w:iCs w:val="0"/>
          <w:color w:val="auto"/>
          <w:kern w:val="0"/>
          <w:sz w:val="24"/>
          <w:szCs w:val="24"/>
          <w:u w:val="none"/>
          <w:lang w:val="en-US" w:eastAsia="zh-CN" w:bidi="ar"/>
        </w:rPr>
        <w:t>86寸显示终端</w:t>
      </w:r>
    </w:p>
    <w:tbl>
      <w:tblPr>
        <w:tblStyle w:val="43"/>
        <w:tblW w:w="863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7"/>
        <w:gridCol w:w="927"/>
        <w:gridCol w:w="1366"/>
        <w:gridCol w:w="4532"/>
        <w:gridCol w:w="1129"/>
      </w:tblGrid>
      <w:tr w14:paraId="581B3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77247">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序号</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FEBD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重要性</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4182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指标项</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33C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指标要求</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563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证明材料要求</w:t>
            </w:r>
          </w:p>
        </w:tc>
      </w:tr>
      <w:tr w14:paraId="37D70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E201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96D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932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尺寸</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47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≥86寸</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DE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23879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C561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E820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DF6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屏类型</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147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D-LED</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FC2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6E2B4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3A1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C93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3EE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屏亮度</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4A23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≥350cd/㎡</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CCC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271D0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E60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91FB8">
            <w:pPr>
              <w:jc w:val="center"/>
              <w:rPr>
                <w:rFonts w:hint="eastAsia" w:ascii="仿宋" w:hAnsi="仿宋" w:eastAsia="仿宋" w:cs="仿宋"/>
                <w:i w:val="0"/>
                <w:iCs w:val="0"/>
                <w:color w:val="000000"/>
                <w:sz w:val="20"/>
                <w:szCs w:val="20"/>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88A2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屏寿命</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3E9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≥30000小时</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AE4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0F11D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B866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EF8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6B4B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分辨率</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7C3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≥4K，≥3840(H)×2160(V)</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4A8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1D39D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503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DB9AC">
            <w:pPr>
              <w:jc w:val="center"/>
              <w:rPr>
                <w:rFonts w:hint="eastAsia" w:ascii="仿宋" w:hAnsi="仿宋" w:eastAsia="仿宋" w:cs="仿宋"/>
                <w:i w:val="0"/>
                <w:iCs w:val="0"/>
                <w:color w:val="000000"/>
                <w:sz w:val="20"/>
                <w:szCs w:val="20"/>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87E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刷新率</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5699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≥60Hz</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63B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229AF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CBF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63D8B">
            <w:pPr>
              <w:jc w:val="center"/>
              <w:rPr>
                <w:rFonts w:hint="eastAsia" w:ascii="仿宋" w:hAnsi="仿宋" w:eastAsia="仿宋" w:cs="仿宋"/>
                <w:i w:val="0"/>
                <w:iCs w:val="0"/>
                <w:color w:val="000000"/>
                <w:sz w:val="20"/>
                <w:szCs w:val="20"/>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86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色彩度</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A2D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≥16.7M</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067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7142E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10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BBBF5">
            <w:pPr>
              <w:jc w:val="center"/>
              <w:rPr>
                <w:rFonts w:hint="eastAsia" w:ascii="仿宋" w:hAnsi="仿宋" w:eastAsia="仿宋" w:cs="仿宋"/>
                <w:i w:val="0"/>
                <w:iCs w:val="0"/>
                <w:color w:val="000000"/>
                <w:sz w:val="20"/>
                <w:szCs w:val="20"/>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74E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触摸技术</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B73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红外触控</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CEDF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7145F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775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143D6">
            <w:pPr>
              <w:jc w:val="center"/>
              <w:rPr>
                <w:rFonts w:hint="eastAsia" w:ascii="仿宋" w:hAnsi="仿宋" w:eastAsia="仿宋" w:cs="仿宋"/>
                <w:i w:val="0"/>
                <w:iCs w:val="0"/>
                <w:color w:val="000000"/>
                <w:sz w:val="20"/>
                <w:szCs w:val="20"/>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8C7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触控精度</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C54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≤±2mm(90%以上触摸区域)</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F2E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6F160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31CA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4EF3B">
            <w:pPr>
              <w:jc w:val="center"/>
              <w:rPr>
                <w:rFonts w:hint="eastAsia" w:ascii="仿宋" w:hAnsi="仿宋" w:eastAsia="仿宋" w:cs="仿宋"/>
                <w:i w:val="0"/>
                <w:iCs w:val="0"/>
                <w:color w:val="000000"/>
                <w:sz w:val="20"/>
                <w:szCs w:val="20"/>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C4C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触控点数</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A5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≥40点</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DC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7F3AA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C45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FD74F">
            <w:pPr>
              <w:jc w:val="center"/>
              <w:rPr>
                <w:rFonts w:hint="eastAsia" w:ascii="仿宋" w:hAnsi="仿宋" w:eastAsia="仿宋" w:cs="仿宋"/>
                <w:i w:val="0"/>
                <w:iCs w:val="0"/>
                <w:color w:val="000000"/>
                <w:sz w:val="20"/>
                <w:szCs w:val="20"/>
                <w:u w:val="none"/>
              </w:rPr>
            </w:pPr>
          </w:p>
        </w:tc>
        <w:tc>
          <w:tcPr>
            <w:tcW w:w="13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C8F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其他指标</w:t>
            </w:r>
          </w:p>
        </w:tc>
        <w:tc>
          <w:tcPr>
            <w:tcW w:w="45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A33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超高清，防蓝光，MEMC防抖</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B2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bl>
    <w:p w14:paraId="266F719F">
      <w:pPr>
        <w:pStyle w:val="6"/>
        <w:rPr>
          <w:rFonts w:hint="eastAsia" w:ascii="仿宋" w:hAnsi="仿宋" w:eastAsia="仿宋" w:cs="仿宋"/>
          <w:color w:val="auto"/>
          <w:kern w:val="0"/>
          <w:sz w:val="24"/>
          <w:lang w:val="en-US" w:eastAsia="zh-CN"/>
        </w:rPr>
      </w:pPr>
    </w:p>
    <w:p w14:paraId="2E06D25F">
      <w:pPr>
        <w:pStyle w:val="6"/>
        <w:rPr>
          <w:rFonts w:hint="eastAsia" w:ascii="仿宋" w:hAnsi="仿宋" w:eastAsia="仿宋" w:cs="仿宋"/>
          <w:color w:val="auto"/>
          <w:kern w:val="0"/>
          <w:sz w:val="24"/>
          <w:lang w:eastAsia="zh-CN"/>
        </w:rPr>
      </w:pPr>
      <w:r>
        <w:rPr>
          <w:rStyle w:val="52"/>
          <w:rFonts w:hint="eastAsia" w:ascii="仿宋" w:hAnsi="仿宋" w:eastAsia="仿宋" w:cs="仿宋"/>
          <w:b/>
          <w:bCs/>
          <w:color w:val="auto"/>
          <w:sz w:val="24"/>
          <w:szCs w:val="24"/>
          <w:lang w:val="en-US" w:eastAsia="zh-CN"/>
        </w:rPr>
        <w:t xml:space="preserve">1.2.5  </w:t>
      </w:r>
      <w:r>
        <w:rPr>
          <w:rFonts w:hint="eastAsia" w:ascii="仿宋" w:hAnsi="仿宋" w:eastAsia="仿宋" w:cs="仿宋"/>
          <w:i w:val="0"/>
          <w:iCs w:val="0"/>
          <w:color w:val="auto"/>
          <w:kern w:val="0"/>
          <w:sz w:val="24"/>
          <w:szCs w:val="24"/>
          <w:u w:val="none"/>
          <w:lang w:val="en-US" w:eastAsia="zh-CN" w:bidi="ar"/>
        </w:rPr>
        <w:t>55寸信息展示终端3</w:t>
      </w:r>
    </w:p>
    <w:tbl>
      <w:tblPr>
        <w:tblStyle w:val="43"/>
        <w:tblW w:w="85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81"/>
        <w:gridCol w:w="930"/>
        <w:gridCol w:w="1547"/>
        <w:gridCol w:w="4329"/>
        <w:gridCol w:w="1033"/>
      </w:tblGrid>
      <w:tr w14:paraId="16D7E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7CF94">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序号</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F3C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重要性</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794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指标项</w:t>
            </w:r>
          </w:p>
        </w:tc>
        <w:tc>
          <w:tcPr>
            <w:tcW w:w="4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736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指标要求</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86A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证明材料要求</w:t>
            </w:r>
          </w:p>
        </w:tc>
      </w:tr>
      <w:tr w14:paraId="65E35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EF50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88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DE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尺寸</w:t>
            </w:r>
          </w:p>
        </w:tc>
        <w:tc>
          <w:tcPr>
            <w:tcW w:w="4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5D3F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对角线尺寸≥55”</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6C3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41051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4591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708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1A3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亮度</w:t>
            </w:r>
          </w:p>
        </w:tc>
        <w:tc>
          <w:tcPr>
            <w:tcW w:w="4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29E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≥350nit</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3E0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4586E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BC5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B9C3A">
            <w:pPr>
              <w:jc w:val="center"/>
              <w:rPr>
                <w:rFonts w:hint="eastAsia" w:ascii="仿宋" w:hAnsi="仿宋" w:eastAsia="仿宋" w:cs="仿宋"/>
                <w:i w:val="0"/>
                <w:iCs w:val="0"/>
                <w:color w:val="000000"/>
                <w:sz w:val="20"/>
                <w:szCs w:val="20"/>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33C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显示比例</w:t>
            </w:r>
          </w:p>
        </w:tc>
        <w:tc>
          <w:tcPr>
            <w:tcW w:w="4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A190C">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16:9</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CF29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55F17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38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44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3445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分辨率</w:t>
            </w:r>
          </w:p>
        </w:tc>
        <w:tc>
          <w:tcPr>
            <w:tcW w:w="4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CA3F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≥3840*2160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1FBE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65FC4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AFBF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B0D5">
            <w:pPr>
              <w:jc w:val="center"/>
              <w:rPr>
                <w:rFonts w:hint="eastAsia" w:ascii="仿宋" w:hAnsi="仿宋" w:eastAsia="仿宋" w:cs="仿宋"/>
                <w:i w:val="0"/>
                <w:iCs w:val="0"/>
                <w:color w:val="000000"/>
                <w:sz w:val="20"/>
                <w:szCs w:val="20"/>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5E46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可视角度</w:t>
            </w:r>
          </w:p>
        </w:tc>
        <w:tc>
          <w:tcPr>
            <w:tcW w:w="4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E1B6">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可视角度≥89°(上 / 下 / 左 / 右)，对比度条件 CR≥10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0203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65D0A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2801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833E">
            <w:pPr>
              <w:jc w:val="center"/>
              <w:rPr>
                <w:rFonts w:hint="eastAsia" w:ascii="仿宋" w:hAnsi="仿宋" w:eastAsia="仿宋" w:cs="仿宋"/>
                <w:i w:val="0"/>
                <w:iCs w:val="0"/>
                <w:color w:val="000000"/>
                <w:sz w:val="20"/>
                <w:szCs w:val="20"/>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8724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触控技术</w:t>
            </w:r>
          </w:p>
        </w:tc>
        <w:tc>
          <w:tcPr>
            <w:tcW w:w="4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7AB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投射式电容屏，触摸点≥40点触控</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68B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7431C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348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EFBE8">
            <w:pPr>
              <w:jc w:val="center"/>
              <w:rPr>
                <w:rFonts w:hint="eastAsia" w:ascii="仿宋" w:hAnsi="仿宋" w:eastAsia="仿宋" w:cs="仿宋"/>
                <w:i w:val="0"/>
                <w:iCs w:val="0"/>
                <w:color w:val="000000"/>
                <w:sz w:val="20"/>
                <w:szCs w:val="20"/>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657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处理器</w:t>
            </w:r>
          </w:p>
        </w:tc>
        <w:tc>
          <w:tcPr>
            <w:tcW w:w="4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30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CPU≥四核，内存/RAM≥2G，存储/Flash≥16G</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66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41401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C67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0979">
            <w:pPr>
              <w:jc w:val="center"/>
              <w:rPr>
                <w:rFonts w:hint="eastAsia" w:ascii="仿宋" w:hAnsi="仿宋" w:eastAsia="仿宋" w:cs="仿宋"/>
                <w:i w:val="0"/>
                <w:iCs w:val="0"/>
                <w:color w:val="000000"/>
                <w:sz w:val="20"/>
                <w:szCs w:val="20"/>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780D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输入接口</w:t>
            </w:r>
          </w:p>
        </w:tc>
        <w:tc>
          <w:tcPr>
            <w:tcW w:w="4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5E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≥USB2.0*2,TF*1,DC*1,AC*1,HDMIIN*1</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A956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7F5D6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49B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112B">
            <w:pPr>
              <w:jc w:val="center"/>
              <w:rPr>
                <w:rFonts w:hint="eastAsia" w:ascii="仿宋" w:hAnsi="仿宋" w:eastAsia="仿宋" w:cs="仿宋"/>
                <w:i w:val="0"/>
                <w:iCs w:val="0"/>
                <w:color w:val="000000"/>
                <w:sz w:val="20"/>
                <w:szCs w:val="20"/>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10AD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输出接口</w:t>
            </w:r>
          </w:p>
        </w:tc>
        <w:tc>
          <w:tcPr>
            <w:tcW w:w="4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9A84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≥耳机*1，通信接口RJ45</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E2B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496B7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CD43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76475">
            <w:pPr>
              <w:jc w:val="center"/>
              <w:rPr>
                <w:rFonts w:hint="eastAsia" w:ascii="仿宋" w:hAnsi="仿宋" w:eastAsia="仿宋" w:cs="仿宋"/>
                <w:i w:val="0"/>
                <w:iCs w:val="0"/>
                <w:color w:val="000000"/>
                <w:sz w:val="20"/>
                <w:szCs w:val="20"/>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B7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视频格式</w:t>
            </w:r>
          </w:p>
        </w:tc>
        <w:tc>
          <w:tcPr>
            <w:tcW w:w="4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752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至少支持H.264,WMV,H.263,MPEG4视频格式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02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04C2E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DB2F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E6970">
            <w:pPr>
              <w:jc w:val="center"/>
              <w:rPr>
                <w:rFonts w:hint="eastAsia" w:ascii="仿宋" w:hAnsi="仿宋" w:eastAsia="仿宋" w:cs="仿宋"/>
                <w:i w:val="0"/>
                <w:iCs w:val="0"/>
                <w:color w:val="000000"/>
                <w:sz w:val="20"/>
                <w:szCs w:val="20"/>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88E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音频格式</w:t>
            </w:r>
          </w:p>
        </w:tc>
        <w:tc>
          <w:tcPr>
            <w:tcW w:w="4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71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至少支持MP3,WMA,WAV,APE,FLAC,AAC,OGG,M4A格式</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3498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5234E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1F8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8B9F7">
            <w:pPr>
              <w:jc w:val="center"/>
              <w:rPr>
                <w:rFonts w:hint="eastAsia" w:ascii="仿宋" w:hAnsi="仿宋" w:eastAsia="仿宋" w:cs="仿宋"/>
                <w:i w:val="0"/>
                <w:iCs w:val="0"/>
                <w:color w:val="000000"/>
                <w:sz w:val="20"/>
                <w:szCs w:val="20"/>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7AC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图片格式</w:t>
            </w:r>
          </w:p>
        </w:tc>
        <w:tc>
          <w:tcPr>
            <w:tcW w:w="4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7B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至少支持JPG、BMP、PNG</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C78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6C23C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825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AC003">
            <w:pPr>
              <w:jc w:val="center"/>
              <w:rPr>
                <w:rFonts w:hint="eastAsia" w:ascii="仿宋" w:hAnsi="仿宋" w:eastAsia="仿宋" w:cs="仿宋"/>
                <w:i w:val="0"/>
                <w:iCs w:val="0"/>
                <w:color w:val="000000"/>
                <w:sz w:val="20"/>
                <w:szCs w:val="20"/>
                <w:u w:val="none"/>
              </w:rPr>
            </w:pPr>
          </w:p>
        </w:tc>
        <w:tc>
          <w:tcPr>
            <w:tcW w:w="15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9EF3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扬声器</w:t>
            </w:r>
          </w:p>
        </w:tc>
        <w:tc>
          <w:tcPr>
            <w:tcW w:w="4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6578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内置扬声器≥4</w:t>
            </w:r>
            <w:r>
              <w:rPr>
                <w:rFonts w:hint="eastAsia" w:ascii="宋体" w:hAnsi="宋体" w:eastAsia="宋体" w:cs="宋体"/>
                <w:i w:val="0"/>
                <w:iCs w:val="0"/>
                <w:color w:val="000000"/>
                <w:kern w:val="0"/>
                <w:sz w:val="20"/>
                <w:szCs w:val="20"/>
                <w:u w:val="none"/>
                <w:lang w:val="en-US" w:eastAsia="zh-CN" w:bidi="ar"/>
              </w:rPr>
              <w:t>Ω</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24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bl>
    <w:p w14:paraId="71F48197">
      <w:pPr>
        <w:pStyle w:val="6"/>
        <w:rPr>
          <w:rFonts w:hint="eastAsia" w:ascii="仿宋" w:hAnsi="仿宋" w:eastAsia="仿宋" w:cs="仿宋"/>
          <w:color w:val="auto"/>
          <w:kern w:val="0"/>
          <w:sz w:val="24"/>
          <w:lang w:val="en-US" w:eastAsia="zh-CN"/>
        </w:rPr>
      </w:pPr>
    </w:p>
    <w:p w14:paraId="4D14D29B">
      <w:pPr>
        <w:pStyle w:val="6"/>
        <w:rPr>
          <w:rStyle w:val="52"/>
          <w:rFonts w:hint="eastAsia" w:ascii="仿宋" w:hAnsi="仿宋" w:eastAsia="仿宋" w:cs="仿宋"/>
          <w:b/>
          <w:bCs/>
          <w:snapToGrid w:val="0"/>
          <w:color w:val="auto"/>
          <w:kern w:val="0"/>
          <w:sz w:val="24"/>
          <w:szCs w:val="24"/>
          <w:lang w:val="en-US" w:eastAsia="zh-CN"/>
        </w:rPr>
      </w:pPr>
      <w:r>
        <w:rPr>
          <w:rStyle w:val="52"/>
          <w:rFonts w:hint="eastAsia" w:ascii="仿宋" w:hAnsi="仿宋" w:eastAsia="仿宋" w:cs="仿宋"/>
          <w:b/>
          <w:bCs/>
          <w:snapToGrid w:val="0"/>
          <w:color w:val="auto"/>
          <w:kern w:val="0"/>
          <w:sz w:val="24"/>
          <w:szCs w:val="24"/>
          <w:lang w:val="en-US" w:eastAsia="zh-CN"/>
        </w:rPr>
        <w:t xml:space="preserve">1.2.6 </w:t>
      </w:r>
      <w:r>
        <w:rPr>
          <w:rFonts w:hint="eastAsia" w:ascii="仿宋" w:hAnsi="仿宋" w:eastAsia="仿宋" w:cs="仿宋"/>
          <w:b/>
          <w:bCs/>
          <w:snapToGrid w:val="0"/>
          <w:color w:val="auto"/>
          <w:kern w:val="0"/>
          <w:sz w:val="24"/>
        </w:rPr>
        <w:t>UPS主机</w:t>
      </w:r>
      <w:r>
        <w:rPr>
          <w:rFonts w:hint="eastAsia" w:ascii="仿宋" w:hAnsi="仿宋" w:eastAsia="仿宋" w:cs="仿宋"/>
          <w:b/>
          <w:bCs/>
          <w:snapToGrid w:val="0"/>
          <w:color w:val="auto"/>
          <w:kern w:val="0"/>
          <w:sz w:val="24"/>
          <w:lang w:val="en-US" w:eastAsia="zh-CN"/>
        </w:rPr>
        <w:t>1</w:t>
      </w:r>
    </w:p>
    <w:tbl>
      <w:tblPr>
        <w:tblStyle w:val="43"/>
        <w:tblW w:w="88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3"/>
        <w:gridCol w:w="725"/>
        <w:gridCol w:w="1270"/>
        <w:gridCol w:w="5406"/>
        <w:gridCol w:w="991"/>
      </w:tblGrid>
      <w:tr w14:paraId="2C3DC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DB142">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序号</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B39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重要性</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F2E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指标项</w:t>
            </w: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592B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指标要求</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6E04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证明材料要求</w:t>
            </w:r>
          </w:p>
        </w:tc>
      </w:tr>
      <w:tr w14:paraId="61882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D4D8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8CD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ED7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容量要求</w:t>
            </w: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B9E2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模块化UPS电源系统，单个功率模块不低于60kVA，单系统容量为不低于400kVA。(需提供产品功能截图或产品彩页或白皮书或规格书或技术参数网页截图)</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59E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62318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CF96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080E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5478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基本要求</w:t>
            </w: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77E5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PS系统内部的功率模块并联采用分散控制技术，每个功率模块具有独立DSP控制，并联模块间自主均流，不得有固定的主控制模块进行集中控制，以避免单点故障的瓶颈，确保整机可靠性(需提供产品功能截图或产品彩页或白皮书或规格书或技术参数网页截图)</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767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29952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2F65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9A4B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B6D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结构防护等级要求</w:t>
            </w: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9405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需满足IP20防护等级(需提供产品功能截图或产品彩页或白皮书或规格书或技术参数网页截图或第三方检测报告)。</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46FA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40A92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26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DC87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359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输入谐波含量要求</w:t>
            </w: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7E32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整流器输入性能应符合YD/T 2165-2017《通信用模块化不间断电源》中一类UPS标准，双变换工作时，输入谐波电流总含量, 满载时＜1%,50%负载率时＜1.5%，30%负载率时＜2%；(需提供产品功能截图或产品彩页或白皮书或规格书或技术参数网页截图或第三方检测报告)。</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B4B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3B143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6ED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891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9F41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系统效率</w:t>
            </w: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162F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整机运行效率：30%及50%负载时，效率≥98%；(需提供产品功能截图或产品彩页或白皮书或规格书或技术参数网页截图或第三方检测报告)。</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99E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732BF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5"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A53C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9CA9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1C50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过载能力要求</w:t>
            </w: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FD5D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逆变器过载能力：110%额定电流，过载1小时；125%额定电流，过载大于（非等于）10min；150%额定电流，过载1分钟后转旁路供电，需提供投标产品的宣传彩页或用户手册作证明材料。其中，125%额定电流，过载大于（非等于）10min(需提供产品功能截图或产品彩页或白皮书或规格书或技术参数网页截图或第三方检测报告)。</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5CE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2CBA8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8A28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1F8B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757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输出电压不平衡度要求</w:t>
            </w: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BD8ED">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三相负载不平衡度：100%负载时，三相输出电压不平衡度满足：≤±0.5％（平衡负载），≤±1％（100％不平衡负载）；(需提供产品功能截图或产品彩页或白皮书或规格书或技术参数网页截图或第三方检测报告)。</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ED4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68BDC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136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4D09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97CA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旁路逆变切换时间</w:t>
            </w: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E28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从逆变器停止工作时起，到电网直接供电时止或从电网直接供电起到恢复逆变器工作时止所需要的时间&lt;2ms，(需提供产品功能截图或产品彩页或白皮书或规格书或技术参数网页截图或第三方检测报告)。</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E3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24911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5"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5EF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FB3C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83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动态在线模式</w:t>
            </w: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B69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要求所投标设备具备动态在线模式（超级ECO模式），可使静态旁路和逆变器同时在线，此工况下，输入电流谐波应满足，满载时＜2%，50%负载时＜3%，30%负载时＜5%；输入功率因数应≥0.995（40%，50%，60%，70%，80%，90%，100%负载率时均满足）(需提供产品功能截图或产品彩页或白皮书或规格书或技术参数网页截图或第三方检测报告)。</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254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6FF7B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3CD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6A8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BCB8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高温带载能力</w:t>
            </w: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9422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UPS设备需具备良好的高温带载能力，40℃持续运行不降额，50℃环境温度仍可输出80%额定功率(需提供产品功能截图或产品彩页或白皮书或规格书或技术参数网页截图或第三方检测报告)。</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CF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3E9B7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5"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A8F4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20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A0E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监控管理和预告警功能</w:t>
            </w: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408F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设备应能提供全中文监控及操作界面和全中文远程监控管理界面，应提供8英寸以上全中文显示的LCD显示器，方便查看与操作。系统应具备电容及风扇等易损件的智能预告警功能，方便运维，可实现接入已有微模块动环监控系统，(需提供产品功能截图或产品彩页或白皮书或规格书或技术参数网页截图或第三方检测报告)。</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10C5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5DB90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7161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EA8D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FA03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电池变换器要求</w:t>
            </w: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AD75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PS具备独立电池变换器，不接受整流器复用电池变换器方案，提高可靠性，提升充电能力。采用2线电池，电池无需N线，节省电池线缆投资。(需提供产品功能截图或产品彩页或白皮书或规格书或技术参数网页截图或第三方检测报告)。</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BB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41D14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498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A32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7F4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波形失真度</w:t>
            </w: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2E0D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输出波形为连续的正弦波，电压波形失真度：100%阻性负载 ≤1％，100%非线性负载 ≤1.5％(需提供功能截图、产品彩页、白皮书、第三方检测报告等证明材料)。</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07E5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75FE6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20A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945E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0D7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功率模块独立风道设计</w:t>
            </w: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5F08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UPS功率模块内部散热风道要求采用独立风道设计，防止灰尘积累导致短路、拉弧等故障发生(需提供产品功能截图或产品彩页或白皮书或规格书或技术参数网页截图或第三方检测报告)。</w:t>
            </w:r>
          </w:p>
        </w:tc>
        <w:tc>
          <w:tcPr>
            <w:tcW w:w="9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CA0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16373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453" w:type="dxa"/>
            <w:vMerge w:val="restart"/>
            <w:tcBorders>
              <w:top w:val="single" w:color="000000" w:sz="4" w:space="0"/>
              <w:left w:val="single" w:color="000000" w:sz="4" w:space="0"/>
              <w:right w:val="single" w:color="000000" w:sz="4" w:space="0"/>
            </w:tcBorders>
            <w:shd w:val="clear" w:color="auto" w:fill="auto"/>
            <w:vAlign w:val="center"/>
          </w:tcPr>
          <w:p w14:paraId="1EB1903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725" w:type="dxa"/>
            <w:vMerge w:val="restart"/>
            <w:tcBorders>
              <w:top w:val="single" w:color="000000" w:sz="4" w:space="0"/>
              <w:left w:val="single" w:color="000000" w:sz="4" w:space="0"/>
              <w:right w:val="single" w:color="000000" w:sz="4" w:space="0"/>
            </w:tcBorders>
            <w:shd w:val="clear" w:color="auto" w:fill="auto"/>
            <w:vAlign w:val="center"/>
          </w:tcPr>
          <w:p w14:paraId="117D031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270" w:type="dxa"/>
            <w:vMerge w:val="restart"/>
            <w:tcBorders>
              <w:top w:val="single" w:color="000000" w:sz="4" w:space="0"/>
              <w:left w:val="single" w:color="000000" w:sz="4" w:space="0"/>
              <w:right w:val="single" w:color="000000" w:sz="4" w:space="0"/>
            </w:tcBorders>
            <w:shd w:val="clear" w:color="auto" w:fill="auto"/>
            <w:vAlign w:val="center"/>
          </w:tcPr>
          <w:p w14:paraId="73B238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配套配电柜</w:t>
            </w: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4AD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市电输入柜2台：输入开关不低于1000A×1，输出开关630A×2，400A×1，20A×3。固定式，根据系统图定制；800*1000*2000mm，含底座。</w:t>
            </w:r>
          </w:p>
        </w:tc>
        <w:tc>
          <w:tcPr>
            <w:tcW w:w="991" w:type="dxa"/>
            <w:vMerge w:val="restart"/>
            <w:tcBorders>
              <w:top w:val="single" w:color="000000" w:sz="4" w:space="0"/>
              <w:left w:val="single" w:color="000000" w:sz="4" w:space="0"/>
              <w:right w:val="single" w:color="000000" w:sz="4" w:space="0"/>
            </w:tcBorders>
            <w:shd w:val="clear" w:color="auto" w:fill="auto"/>
            <w:vAlign w:val="center"/>
          </w:tcPr>
          <w:p w14:paraId="01AF5E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012E1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453" w:type="dxa"/>
            <w:vMerge w:val="continue"/>
            <w:tcBorders>
              <w:left w:val="single" w:color="000000" w:sz="4" w:space="0"/>
              <w:right w:val="single" w:color="000000" w:sz="4" w:space="0"/>
            </w:tcBorders>
            <w:shd w:val="clear" w:color="auto" w:fill="auto"/>
            <w:vAlign w:val="center"/>
          </w:tcPr>
          <w:p w14:paraId="63C5954F">
            <w:pPr>
              <w:jc w:val="center"/>
              <w:rPr>
                <w:rFonts w:hint="eastAsia" w:ascii="仿宋" w:hAnsi="仿宋" w:eastAsia="仿宋" w:cs="仿宋"/>
                <w:i w:val="0"/>
                <w:iCs w:val="0"/>
                <w:color w:val="000000"/>
                <w:sz w:val="20"/>
                <w:szCs w:val="20"/>
                <w:u w:val="none"/>
              </w:rPr>
            </w:pPr>
          </w:p>
        </w:tc>
        <w:tc>
          <w:tcPr>
            <w:tcW w:w="725" w:type="dxa"/>
            <w:vMerge w:val="continue"/>
            <w:tcBorders>
              <w:left w:val="single" w:color="000000" w:sz="4" w:space="0"/>
              <w:right w:val="single" w:color="000000" w:sz="4" w:space="0"/>
            </w:tcBorders>
            <w:shd w:val="clear" w:color="auto" w:fill="auto"/>
            <w:vAlign w:val="center"/>
          </w:tcPr>
          <w:p w14:paraId="415C963C">
            <w:pPr>
              <w:jc w:val="center"/>
              <w:rPr>
                <w:rFonts w:hint="eastAsia" w:ascii="仿宋" w:hAnsi="仿宋" w:eastAsia="仿宋" w:cs="仿宋"/>
                <w:i w:val="0"/>
                <w:iCs w:val="0"/>
                <w:color w:val="000000"/>
                <w:sz w:val="20"/>
                <w:szCs w:val="20"/>
                <w:u w:val="none"/>
              </w:rPr>
            </w:pPr>
          </w:p>
        </w:tc>
        <w:tc>
          <w:tcPr>
            <w:tcW w:w="1270" w:type="dxa"/>
            <w:vMerge w:val="continue"/>
            <w:tcBorders>
              <w:left w:val="single" w:color="000000" w:sz="4" w:space="0"/>
              <w:right w:val="single" w:color="000000" w:sz="4" w:space="0"/>
            </w:tcBorders>
            <w:shd w:val="clear" w:color="auto" w:fill="auto"/>
            <w:vAlign w:val="center"/>
          </w:tcPr>
          <w:p w14:paraId="36CB0033">
            <w:pPr>
              <w:jc w:val="center"/>
              <w:rPr>
                <w:rFonts w:hint="eastAsia" w:ascii="仿宋" w:hAnsi="仿宋" w:eastAsia="仿宋" w:cs="仿宋"/>
                <w:i w:val="0"/>
                <w:iCs w:val="0"/>
                <w:color w:val="000000"/>
                <w:sz w:val="20"/>
                <w:szCs w:val="20"/>
                <w:u w:val="none"/>
              </w:rPr>
            </w:pP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230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UPS设备外部维修旁路柜2台：不低于630A×4（含维修旁路），根据系统图定制;尺寸：800*1000*2000(宽×深×高)，含底座。</w:t>
            </w:r>
          </w:p>
        </w:tc>
        <w:tc>
          <w:tcPr>
            <w:tcW w:w="991" w:type="dxa"/>
            <w:vMerge w:val="continue"/>
            <w:tcBorders>
              <w:left w:val="single" w:color="000000" w:sz="4" w:space="0"/>
              <w:right w:val="single" w:color="000000" w:sz="4" w:space="0"/>
            </w:tcBorders>
            <w:shd w:val="clear" w:color="auto" w:fill="auto"/>
            <w:vAlign w:val="center"/>
          </w:tcPr>
          <w:p w14:paraId="35F0E080">
            <w:pPr>
              <w:jc w:val="center"/>
              <w:rPr>
                <w:rFonts w:hint="eastAsia" w:ascii="仿宋" w:hAnsi="仿宋" w:eastAsia="仿宋" w:cs="仿宋"/>
                <w:i w:val="0"/>
                <w:iCs w:val="0"/>
                <w:color w:val="000000"/>
                <w:sz w:val="20"/>
                <w:szCs w:val="20"/>
                <w:u w:val="none"/>
              </w:rPr>
            </w:pPr>
          </w:p>
        </w:tc>
      </w:tr>
      <w:tr w14:paraId="72780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453" w:type="dxa"/>
            <w:vMerge w:val="continue"/>
            <w:tcBorders>
              <w:left w:val="single" w:color="000000" w:sz="4" w:space="0"/>
              <w:right w:val="single" w:color="000000" w:sz="4" w:space="0"/>
            </w:tcBorders>
            <w:shd w:val="clear" w:color="auto" w:fill="auto"/>
            <w:vAlign w:val="center"/>
          </w:tcPr>
          <w:p w14:paraId="49EF3B50">
            <w:pPr>
              <w:jc w:val="center"/>
              <w:rPr>
                <w:rFonts w:hint="eastAsia" w:ascii="仿宋" w:hAnsi="仿宋" w:eastAsia="仿宋" w:cs="仿宋"/>
                <w:i w:val="0"/>
                <w:iCs w:val="0"/>
                <w:color w:val="000000"/>
                <w:sz w:val="20"/>
                <w:szCs w:val="20"/>
                <w:u w:val="none"/>
              </w:rPr>
            </w:pPr>
          </w:p>
        </w:tc>
        <w:tc>
          <w:tcPr>
            <w:tcW w:w="725" w:type="dxa"/>
            <w:vMerge w:val="continue"/>
            <w:tcBorders>
              <w:left w:val="single" w:color="000000" w:sz="4" w:space="0"/>
              <w:right w:val="single" w:color="000000" w:sz="4" w:space="0"/>
            </w:tcBorders>
            <w:shd w:val="clear" w:color="auto" w:fill="auto"/>
            <w:vAlign w:val="center"/>
          </w:tcPr>
          <w:p w14:paraId="5E6FD905">
            <w:pPr>
              <w:jc w:val="center"/>
              <w:rPr>
                <w:rFonts w:hint="eastAsia" w:ascii="仿宋" w:hAnsi="仿宋" w:eastAsia="仿宋" w:cs="仿宋"/>
                <w:i w:val="0"/>
                <w:iCs w:val="0"/>
                <w:color w:val="000000"/>
                <w:sz w:val="20"/>
                <w:szCs w:val="20"/>
                <w:u w:val="none"/>
              </w:rPr>
            </w:pPr>
          </w:p>
        </w:tc>
        <w:tc>
          <w:tcPr>
            <w:tcW w:w="1270" w:type="dxa"/>
            <w:vMerge w:val="continue"/>
            <w:tcBorders>
              <w:left w:val="single" w:color="000000" w:sz="4" w:space="0"/>
              <w:right w:val="single" w:color="000000" w:sz="4" w:space="0"/>
            </w:tcBorders>
            <w:shd w:val="clear" w:color="auto" w:fill="auto"/>
            <w:vAlign w:val="center"/>
          </w:tcPr>
          <w:p w14:paraId="360AD910">
            <w:pPr>
              <w:jc w:val="center"/>
              <w:rPr>
                <w:rFonts w:hint="eastAsia" w:ascii="仿宋" w:hAnsi="仿宋" w:eastAsia="仿宋" w:cs="仿宋"/>
                <w:i w:val="0"/>
                <w:iCs w:val="0"/>
                <w:color w:val="000000"/>
                <w:sz w:val="20"/>
                <w:szCs w:val="20"/>
                <w:u w:val="none"/>
              </w:rPr>
            </w:pP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8EACA">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UPS输出柜2台：输入开关不低于630A×1，输出开关400A×2，20A×3。根据系统图定制;尺寸：800*1000*2000(宽×深×高)，含底座。</w:t>
            </w:r>
          </w:p>
        </w:tc>
        <w:tc>
          <w:tcPr>
            <w:tcW w:w="991" w:type="dxa"/>
            <w:vMerge w:val="continue"/>
            <w:tcBorders>
              <w:left w:val="single" w:color="000000" w:sz="4" w:space="0"/>
              <w:right w:val="single" w:color="000000" w:sz="4" w:space="0"/>
            </w:tcBorders>
            <w:shd w:val="clear" w:color="auto" w:fill="auto"/>
            <w:vAlign w:val="center"/>
          </w:tcPr>
          <w:p w14:paraId="21B0C251">
            <w:pPr>
              <w:jc w:val="center"/>
              <w:rPr>
                <w:rFonts w:hint="eastAsia" w:ascii="仿宋" w:hAnsi="仿宋" w:eastAsia="仿宋" w:cs="仿宋"/>
                <w:i w:val="0"/>
                <w:iCs w:val="0"/>
                <w:color w:val="000000"/>
                <w:sz w:val="20"/>
                <w:szCs w:val="20"/>
                <w:u w:val="none"/>
              </w:rPr>
            </w:pPr>
          </w:p>
        </w:tc>
      </w:tr>
      <w:tr w14:paraId="30DBE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453" w:type="dxa"/>
            <w:vMerge w:val="continue"/>
            <w:tcBorders>
              <w:left w:val="single" w:color="000000" w:sz="4" w:space="0"/>
              <w:bottom w:val="single" w:color="000000" w:sz="4" w:space="0"/>
              <w:right w:val="single" w:color="000000" w:sz="4" w:space="0"/>
            </w:tcBorders>
            <w:shd w:val="clear" w:color="auto" w:fill="auto"/>
            <w:vAlign w:val="center"/>
          </w:tcPr>
          <w:p w14:paraId="5412B0ED">
            <w:pPr>
              <w:jc w:val="center"/>
              <w:rPr>
                <w:rFonts w:hint="eastAsia" w:ascii="仿宋" w:hAnsi="仿宋" w:eastAsia="仿宋" w:cs="仿宋"/>
                <w:i w:val="0"/>
                <w:iCs w:val="0"/>
                <w:color w:val="000000"/>
                <w:sz w:val="20"/>
                <w:szCs w:val="20"/>
                <w:u w:val="none"/>
              </w:rPr>
            </w:pPr>
          </w:p>
        </w:tc>
        <w:tc>
          <w:tcPr>
            <w:tcW w:w="725" w:type="dxa"/>
            <w:vMerge w:val="continue"/>
            <w:tcBorders>
              <w:left w:val="single" w:color="000000" w:sz="4" w:space="0"/>
              <w:bottom w:val="single" w:color="000000" w:sz="4" w:space="0"/>
              <w:right w:val="single" w:color="000000" w:sz="4" w:space="0"/>
            </w:tcBorders>
            <w:shd w:val="clear" w:color="auto" w:fill="auto"/>
            <w:vAlign w:val="center"/>
          </w:tcPr>
          <w:p w14:paraId="2E86000B">
            <w:pPr>
              <w:jc w:val="center"/>
              <w:rPr>
                <w:rFonts w:hint="eastAsia" w:ascii="仿宋" w:hAnsi="仿宋" w:eastAsia="仿宋" w:cs="仿宋"/>
                <w:i w:val="0"/>
                <w:iCs w:val="0"/>
                <w:color w:val="000000"/>
                <w:sz w:val="20"/>
                <w:szCs w:val="20"/>
                <w:u w:val="none"/>
              </w:rPr>
            </w:pPr>
          </w:p>
        </w:tc>
        <w:tc>
          <w:tcPr>
            <w:tcW w:w="1270" w:type="dxa"/>
            <w:vMerge w:val="continue"/>
            <w:tcBorders>
              <w:left w:val="single" w:color="000000" w:sz="4" w:space="0"/>
              <w:bottom w:val="single" w:color="000000" w:sz="4" w:space="0"/>
              <w:right w:val="single" w:color="000000" w:sz="4" w:space="0"/>
            </w:tcBorders>
            <w:shd w:val="clear" w:color="auto" w:fill="auto"/>
            <w:vAlign w:val="center"/>
          </w:tcPr>
          <w:p w14:paraId="202A13AB">
            <w:pPr>
              <w:jc w:val="center"/>
              <w:rPr>
                <w:rFonts w:hint="eastAsia" w:ascii="仿宋" w:hAnsi="仿宋" w:eastAsia="仿宋" w:cs="仿宋"/>
                <w:i w:val="0"/>
                <w:iCs w:val="0"/>
                <w:color w:val="000000"/>
                <w:sz w:val="20"/>
                <w:szCs w:val="20"/>
                <w:u w:val="none"/>
              </w:rPr>
            </w:pPr>
          </w:p>
        </w:tc>
        <w:tc>
          <w:tcPr>
            <w:tcW w:w="5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D0D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ATS动力柜1台：不低于400A×2，ATS 400A×1:根据系统图定制；尺寸：800*1000*2000(宽×深×高)，含底座。</w:t>
            </w:r>
          </w:p>
        </w:tc>
        <w:tc>
          <w:tcPr>
            <w:tcW w:w="991" w:type="dxa"/>
            <w:vMerge w:val="continue"/>
            <w:tcBorders>
              <w:left w:val="single" w:color="000000" w:sz="4" w:space="0"/>
              <w:bottom w:val="single" w:color="000000" w:sz="4" w:space="0"/>
              <w:right w:val="single" w:color="000000" w:sz="4" w:space="0"/>
            </w:tcBorders>
            <w:shd w:val="clear" w:color="auto" w:fill="auto"/>
            <w:vAlign w:val="center"/>
          </w:tcPr>
          <w:p w14:paraId="62958D81">
            <w:pPr>
              <w:jc w:val="center"/>
              <w:rPr>
                <w:rFonts w:hint="eastAsia" w:ascii="仿宋" w:hAnsi="仿宋" w:eastAsia="仿宋" w:cs="仿宋"/>
                <w:i w:val="0"/>
                <w:iCs w:val="0"/>
                <w:color w:val="000000"/>
                <w:sz w:val="20"/>
                <w:szCs w:val="20"/>
                <w:u w:val="none"/>
              </w:rPr>
            </w:pPr>
          </w:p>
        </w:tc>
      </w:tr>
    </w:tbl>
    <w:p w14:paraId="424186BC">
      <w:pPr>
        <w:spacing w:line="360" w:lineRule="auto"/>
        <w:ind w:firstLine="482" w:firstLineChars="200"/>
        <w:contextualSpacing/>
        <w:rPr>
          <w:rStyle w:val="52"/>
          <w:rFonts w:hint="eastAsia" w:ascii="仿宋" w:hAnsi="仿宋" w:eastAsia="仿宋" w:cs="仿宋"/>
          <w:b/>
          <w:bCs/>
          <w:color w:val="auto"/>
          <w:sz w:val="24"/>
          <w:szCs w:val="24"/>
          <w:lang w:val="en-US" w:eastAsia="zh-CN"/>
        </w:rPr>
      </w:pPr>
    </w:p>
    <w:p w14:paraId="54080341">
      <w:pPr>
        <w:spacing w:line="360" w:lineRule="auto"/>
        <w:ind w:firstLine="482" w:firstLineChars="200"/>
        <w:contextualSpacing/>
        <w:rPr>
          <w:rFonts w:hint="eastAsia" w:ascii="仿宋" w:hAnsi="仿宋" w:eastAsia="仿宋" w:cs="仿宋"/>
          <w:b/>
          <w:bCs/>
          <w:color w:val="auto"/>
          <w:sz w:val="24"/>
        </w:rPr>
      </w:pPr>
      <w:r>
        <w:rPr>
          <w:rStyle w:val="52"/>
          <w:rFonts w:hint="eastAsia" w:ascii="仿宋" w:hAnsi="仿宋" w:eastAsia="仿宋" w:cs="仿宋"/>
          <w:b/>
          <w:bCs/>
          <w:color w:val="auto"/>
          <w:sz w:val="24"/>
          <w:szCs w:val="24"/>
          <w:lang w:val="en-US" w:eastAsia="zh-CN"/>
        </w:rPr>
        <w:t xml:space="preserve">1.2.7 </w:t>
      </w:r>
      <w:r>
        <w:rPr>
          <w:rFonts w:hint="eastAsia" w:ascii="仿宋" w:hAnsi="仿宋" w:eastAsia="仿宋" w:cs="仿宋"/>
          <w:b/>
          <w:bCs/>
          <w:color w:val="auto"/>
          <w:sz w:val="24"/>
        </w:rPr>
        <w:t>蓄电池</w:t>
      </w:r>
      <w:r>
        <w:rPr>
          <w:rFonts w:hint="eastAsia" w:ascii="仿宋" w:hAnsi="仿宋" w:eastAsia="仿宋" w:cs="仿宋"/>
          <w:b/>
          <w:bCs/>
          <w:color w:val="auto"/>
          <w:sz w:val="24"/>
          <w:lang w:val="en-US" w:eastAsia="zh-CN"/>
        </w:rPr>
        <w:t>1</w:t>
      </w:r>
    </w:p>
    <w:tbl>
      <w:tblPr>
        <w:tblStyle w:val="43"/>
        <w:tblW w:w="9166"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1"/>
        <w:gridCol w:w="585"/>
        <w:gridCol w:w="988"/>
        <w:gridCol w:w="5927"/>
        <w:gridCol w:w="1105"/>
      </w:tblGrid>
      <w:tr w14:paraId="52F50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E1F39">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序号</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F1B4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重要性</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D30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指标项</w:t>
            </w:r>
          </w:p>
        </w:tc>
        <w:tc>
          <w:tcPr>
            <w:tcW w:w="5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C1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指标要求</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EC1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证明材料要求</w:t>
            </w:r>
          </w:p>
        </w:tc>
      </w:tr>
      <w:tr w14:paraId="6D466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2B2F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BCB1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DD75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规格</w:t>
            </w:r>
          </w:p>
        </w:tc>
        <w:tc>
          <w:tcPr>
            <w:tcW w:w="5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68DD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配套UPS1使用，每台UPS配套3组电池，每组36只12V200Ah电池</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712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413D4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A6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D3C8C">
            <w:pPr>
              <w:jc w:val="center"/>
              <w:rPr>
                <w:rFonts w:hint="eastAsia" w:ascii="仿宋" w:hAnsi="仿宋" w:eastAsia="仿宋" w:cs="仿宋"/>
                <w:i w:val="0"/>
                <w:iCs w:val="0"/>
                <w:color w:val="000000"/>
                <w:sz w:val="20"/>
                <w:szCs w:val="20"/>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A1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工作温度</w:t>
            </w:r>
          </w:p>
        </w:tc>
        <w:tc>
          <w:tcPr>
            <w:tcW w:w="5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FB530">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蓄电池产品应能在下述条件下允许工作：工作温度：－15～+50℃；</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0B65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0A3E7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81DE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BC8E">
            <w:pPr>
              <w:jc w:val="center"/>
              <w:rPr>
                <w:rFonts w:hint="eastAsia" w:ascii="仿宋" w:hAnsi="仿宋" w:eastAsia="仿宋" w:cs="仿宋"/>
                <w:i w:val="0"/>
                <w:iCs w:val="0"/>
                <w:color w:val="000000"/>
                <w:sz w:val="20"/>
                <w:szCs w:val="20"/>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D927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放电容量测试</w:t>
            </w:r>
          </w:p>
        </w:tc>
        <w:tc>
          <w:tcPr>
            <w:tcW w:w="5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565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进行10h率放电容量测试时，蓄电池实测容量与标称额定容量不允许出现负偏差。进行3h率放电容量测试时，以0.25C放电至10.8V，蓄电池实测容量要达到标称额定容量的75%以上。</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6A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626FD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9BB8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CFB2F">
            <w:pPr>
              <w:jc w:val="center"/>
              <w:rPr>
                <w:rFonts w:hint="eastAsia" w:ascii="仿宋" w:hAnsi="仿宋" w:eastAsia="仿宋" w:cs="仿宋"/>
                <w:i w:val="0"/>
                <w:iCs w:val="0"/>
                <w:color w:val="000000"/>
                <w:sz w:val="20"/>
                <w:szCs w:val="20"/>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0C47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温度特性</w:t>
            </w:r>
          </w:p>
        </w:tc>
        <w:tc>
          <w:tcPr>
            <w:tcW w:w="5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F0F3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蓄电池在工作环境温度为0℃时的容量应不低于该电池标称容量（25℃时的C10）的80%。</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F3F6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06C88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73C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2889">
            <w:pPr>
              <w:jc w:val="center"/>
              <w:rPr>
                <w:rFonts w:hint="eastAsia" w:ascii="仿宋" w:hAnsi="仿宋" w:eastAsia="仿宋" w:cs="仿宋"/>
                <w:i w:val="0"/>
                <w:iCs w:val="0"/>
                <w:color w:val="000000"/>
                <w:sz w:val="20"/>
                <w:szCs w:val="20"/>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FEE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单体一致性</w:t>
            </w:r>
          </w:p>
        </w:tc>
        <w:tc>
          <w:tcPr>
            <w:tcW w:w="5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BE2D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内部由6个2V单体组成一体的组合蓄电池组（12V蓄电池），其各电池间的开路电压最高与最低差值≤100mV（12V）。</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91755">
            <w:pPr>
              <w:jc w:val="center"/>
              <w:rPr>
                <w:rFonts w:hint="eastAsia" w:ascii="仿宋" w:hAnsi="仿宋" w:eastAsia="仿宋" w:cs="仿宋"/>
                <w:i w:val="0"/>
                <w:iCs w:val="0"/>
                <w:color w:val="000000"/>
                <w:sz w:val="20"/>
                <w:szCs w:val="20"/>
                <w:u w:val="none"/>
              </w:rPr>
            </w:pPr>
          </w:p>
        </w:tc>
      </w:tr>
      <w:tr w14:paraId="046B3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C519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C9592">
            <w:pPr>
              <w:jc w:val="center"/>
              <w:rPr>
                <w:rFonts w:hint="eastAsia" w:ascii="仿宋" w:hAnsi="仿宋" w:eastAsia="仿宋" w:cs="仿宋"/>
                <w:i w:val="0"/>
                <w:iCs w:val="0"/>
                <w:color w:val="000000"/>
                <w:sz w:val="20"/>
                <w:szCs w:val="20"/>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7CDE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单体一致性</w:t>
            </w:r>
          </w:p>
        </w:tc>
        <w:tc>
          <w:tcPr>
            <w:tcW w:w="5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1F40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蓄电池组进入浮充状态24h后，各蓄电池间的端电压差值≤480mV（12V）。</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81D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34CDC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4DE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A400">
            <w:pPr>
              <w:jc w:val="center"/>
              <w:rPr>
                <w:rFonts w:hint="eastAsia" w:ascii="仿宋" w:hAnsi="仿宋" w:eastAsia="仿宋" w:cs="仿宋"/>
                <w:i w:val="0"/>
                <w:iCs w:val="0"/>
                <w:color w:val="000000"/>
                <w:sz w:val="20"/>
                <w:szCs w:val="20"/>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6252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单体一致性</w:t>
            </w:r>
          </w:p>
        </w:tc>
        <w:tc>
          <w:tcPr>
            <w:tcW w:w="5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1ED7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蓄电池放电时，各蓄电池间的端电压差值≤0.6V（12V）。</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0F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326D6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61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32DF">
            <w:pPr>
              <w:jc w:val="center"/>
              <w:rPr>
                <w:rFonts w:hint="eastAsia" w:ascii="仿宋" w:hAnsi="仿宋" w:eastAsia="仿宋" w:cs="仿宋"/>
                <w:i w:val="0"/>
                <w:iCs w:val="0"/>
                <w:color w:val="000000"/>
                <w:sz w:val="20"/>
                <w:szCs w:val="20"/>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EFA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密封反应效率</w:t>
            </w:r>
          </w:p>
        </w:tc>
        <w:tc>
          <w:tcPr>
            <w:tcW w:w="5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1FB2">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蓄电池密封反应效率应不低于95%。</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0B8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35D70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3A9B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BC53A">
            <w:pPr>
              <w:jc w:val="center"/>
              <w:rPr>
                <w:rFonts w:hint="eastAsia" w:ascii="仿宋" w:hAnsi="仿宋" w:eastAsia="仿宋" w:cs="仿宋"/>
                <w:i w:val="0"/>
                <w:iCs w:val="0"/>
                <w:color w:val="000000"/>
                <w:sz w:val="20"/>
                <w:szCs w:val="20"/>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F8F5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开阀/闭阀压力</w:t>
            </w:r>
          </w:p>
        </w:tc>
        <w:tc>
          <w:tcPr>
            <w:tcW w:w="5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E46D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蓄电池安全阀开阀压力范围：10～35kPa，闭阀压力范围：3～30kPa。</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11B3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5FCAB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07D9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A2D28">
            <w:pPr>
              <w:jc w:val="center"/>
              <w:rPr>
                <w:rFonts w:hint="eastAsia" w:ascii="仿宋" w:hAnsi="仿宋" w:eastAsia="仿宋" w:cs="仿宋"/>
                <w:i w:val="0"/>
                <w:iCs w:val="0"/>
                <w:color w:val="000000"/>
                <w:sz w:val="20"/>
                <w:szCs w:val="20"/>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0806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大电流放电</w:t>
            </w:r>
          </w:p>
        </w:tc>
        <w:tc>
          <w:tcPr>
            <w:tcW w:w="5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346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蓄电池以30I10（A）放电3min，极柱、内部汇流排不应熔断，其外观不得出现异常。</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687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0C6F3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ED2C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F503">
            <w:pPr>
              <w:jc w:val="center"/>
              <w:rPr>
                <w:rFonts w:hint="eastAsia" w:ascii="仿宋" w:hAnsi="仿宋" w:eastAsia="仿宋" w:cs="仿宋"/>
                <w:i w:val="0"/>
                <w:iCs w:val="0"/>
                <w:color w:val="000000"/>
                <w:sz w:val="20"/>
                <w:szCs w:val="20"/>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02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气密性</w:t>
            </w:r>
          </w:p>
        </w:tc>
        <w:tc>
          <w:tcPr>
            <w:tcW w:w="5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CE19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蓄电池应能承受50kPa的正压或负压而不破裂、不开胶，压力释放后壳体无残余变形。</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DBE5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0A2D5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CD1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C9E7C">
            <w:pPr>
              <w:jc w:val="center"/>
              <w:rPr>
                <w:rFonts w:hint="eastAsia" w:ascii="仿宋" w:hAnsi="仿宋" w:eastAsia="仿宋" w:cs="仿宋"/>
                <w:i w:val="0"/>
                <w:iCs w:val="0"/>
                <w:color w:val="000000"/>
                <w:sz w:val="20"/>
                <w:szCs w:val="20"/>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BF2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壳盖材料</w:t>
            </w:r>
          </w:p>
        </w:tc>
        <w:tc>
          <w:tcPr>
            <w:tcW w:w="5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F663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要求使用ABS。</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128D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790CC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5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9DC3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953D7">
            <w:pPr>
              <w:jc w:val="center"/>
              <w:rPr>
                <w:rFonts w:hint="eastAsia" w:ascii="仿宋" w:hAnsi="仿宋" w:eastAsia="仿宋" w:cs="仿宋"/>
                <w:i w:val="0"/>
                <w:iCs w:val="0"/>
                <w:color w:val="000000"/>
                <w:sz w:val="20"/>
                <w:szCs w:val="20"/>
                <w:u w:val="none"/>
              </w:rPr>
            </w:pPr>
          </w:p>
        </w:tc>
        <w:tc>
          <w:tcPr>
            <w:tcW w:w="9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4A7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配套电池开关柜</w:t>
            </w:r>
          </w:p>
        </w:tc>
        <w:tc>
          <w:tcPr>
            <w:tcW w:w="5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50DE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电池开关柜2个：含1个不低于1250A/4P直流专用开关，分开关为630A/4P直流开关;包括正极、负极、N线，电池电压为士240VDC;</w:t>
            </w:r>
          </w:p>
        </w:tc>
        <w:tc>
          <w:tcPr>
            <w:tcW w:w="11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7CEE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bl>
    <w:p w14:paraId="7034357C">
      <w:pPr>
        <w:pStyle w:val="6"/>
        <w:rPr>
          <w:rStyle w:val="52"/>
          <w:rFonts w:hint="eastAsia" w:ascii="仿宋" w:hAnsi="仿宋" w:eastAsia="仿宋" w:cs="仿宋"/>
          <w:b/>
          <w:bCs/>
          <w:color w:val="auto"/>
          <w:sz w:val="24"/>
          <w:szCs w:val="24"/>
          <w:lang w:val="en-US" w:eastAsia="zh-CN"/>
        </w:rPr>
      </w:pPr>
    </w:p>
    <w:p w14:paraId="26446978">
      <w:pPr>
        <w:pStyle w:val="6"/>
        <w:rPr>
          <w:rFonts w:hint="eastAsia" w:ascii="仿宋" w:hAnsi="仿宋" w:eastAsia="仿宋" w:cs="仿宋"/>
          <w:color w:val="auto"/>
          <w:kern w:val="0"/>
          <w:sz w:val="24"/>
          <w:lang w:eastAsia="zh-CN"/>
        </w:rPr>
      </w:pPr>
      <w:r>
        <w:rPr>
          <w:rStyle w:val="52"/>
          <w:rFonts w:hint="eastAsia" w:ascii="仿宋" w:hAnsi="仿宋" w:eastAsia="仿宋" w:cs="仿宋"/>
          <w:b/>
          <w:bCs/>
          <w:color w:val="auto"/>
          <w:sz w:val="24"/>
          <w:szCs w:val="24"/>
          <w:lang w:val="en-US" w:eastAsia="zh-CN"/>
        </w:rPr>
        <w:t xml:space="preserve">1.2.8 </w:t>
      </w:r>
      <w:r>
        <w:rPr>
          <w:rFonts w:hint="eastAsia" w:ascii="仿宋" w:hAnsi="仿宋" w:eastAsia="仿宋" w:cs="仿宋"/>
          <w:i w:val="0"/>
          <w:iCs w:val="0"/>
          <w:color w:val="auto"/>
          <w:kern w:val="0"/>
          <w:sz w:val="24"/>
          <w:szCs w:val="24"/>
          <w:u w:val="none"/>
          <w:lang w:val="en-US" w:eastAsia="zh-CN" w:bidi="ar"/>
        </w:rPr>
        <w:t>电池架1</w:t>
      </w:r>
    </w:p>
    <w:tbl>
      <w:tblPr>
        <w:tblStyle w:val="43"/>
        <w:tblW w:w="8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930"/>
        <w:gridCol w:w="1547"/>
        <w:gridCol w:w="4328"/>
        <w:gridCol w:w="1032"/>
      </w:tblGrid>
      <w:tr w14:paraId="2194D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9"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14:paraId="7E2069BC">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rPr>
              <w:t>序号</w:t>
            </w:r>
          </w:p>
        </w:tc>
        <w:tc>
          <w:tcPr>
            <w:tcW w:w="930" w:type="dxa"/>
            <w:tcBorders>
              <w:top w:val="single" w:color="auto" w:sz="4" w:space="0"/>
              <w:left w:val="single" w:color="auto" w:sz="4" w:space="0"/>
              <w:bottom w:val="single" w:color="auto" w:sz="4" w:space="0"/>
              <w:right w:val="single" w:color="auto" w:sz="4" w:space="0"/>
            </w:tcBorders>
            <w:vAlign w:val="center"/>
          </w:tcPr>
          <w:p w14:paraId="642928FF">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rPr>
              <w:t>重要性</w:t>
            </w:r>
          </w:p>
        </w:tc>
        <w:tc>
          <w:tcPr>
            <w:tcW w:w="1547" w:type="dxa"/>
            <w:tcBorders>
              <w:top w:val="single" w:color="auto" w:sz="4" w:space="0"/>
              <w:left w:val="single" w:color="auto" w:sz="4" w:space="0"/>
              <w:bottom w:val="single" w:color="auto" w:sz="4" w:space="0"/>
              <w:right w:val="single" w:color="auto" w:sz="4" w:space="0"/>
            </w:tcBorders>
            <w:vAlign w:val="center"/>
          </w:tcPr>
          <w:p w14:paraId="23847563">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rPr>
              <w:t>指标项</w:t>
            </w:r>
          </w:p>
        </w:tc>
        <w:tc>
          <w:tcPr>
            <w:tcW w:w="4328" w:type="dxa"/>
            <w:tcBorders>
              <w:top w:val="single" w:color="auto" w:sz="4" w:space="0"/>
              <w:left w:val="single" w:color="auto" w:sz="4" w:space="0"/>
              <w:bottom w:val="single" w:color="auto" w:sz="4" w:space="0"/>
              <w:right w:val="single" w:color="auto" w:sz="4" w:space="0"/>
            </w:tcBorders>
            <w:vAlign w:val="center"/>
          </w:tcPr>
          <w:p w14:paraId="3A10BD78">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rPr>
              <w:t>指标要求</w:t>
            </w:r>
          </w:p>
        </w:tc>
        <w:tc>
          <w:tcPr>
            <w:tcW w:w="1032" w:type="dxa"/>
            <w:tcBorders>
              <w:top w:val="single" w:color="auto" w:sz="4" w:space="0"/>
              <w:left w:val="single" w:color="auto" w:sz="4" w:space="0"/>
              <w:bottom w:val="single" w:color="auto" w:sz="4" w:space="0"/>
              <w:right w:val="single" w:color="auto" w:sz="4" w:space="0"/>
            </w:tcBorders>
            <w:vAlign w:val="center"/>
          </w:tcPr>
          <w:p w14:paraId="4CA163FE">
            <w:pPr>
              <w:tabs>
                <w:tab w:val="left" w:pos="1680"/>
              </w:tabs>
              <w:spacing w:line="276" w:lineRule="auto"/>
              <w:jc w:val="center"/>
              <w:rPr>
                <w:rFonts w:hint="eastAsia" w:ascii="仿宋" w:hAnsi="仿宋" w:eastAsia="仿宋" w:cs="仿宋"/>
                <w:color w:val="auto"/>
                <w:szCs w:val="21"/>
              </w:rPr>
            </w:pPr>
            <w:r>
              <w:rPr>
                <w:rFonts w:hint="eastAsia" w:ascii="仿宋" w:hAnsi="仿宋" w:eastAsia="仿宋" w:cs="仿宋"/>
                <w:b/>
                <w:bCs/>
                <w:i w:val="0"/>
                <w:iCs w:val="0"/>
                <w:color w:val="auto"/>
                <w:kern w:val="0"/>
                <w:sz w:val="20"/>
                <w:szCs w:val="20"/>
                <w:u w:val="none"/>
                <w:lang w:val="en-US" w:eastAsia="zh-CN" w:bidi="ar"/>
              </w:rPr>
              <w:t>证明材料要求</w:t>
            </w:r>
          </w:p>
        </w:tc>
      </w:tr>
      <w:tr w14:paraId="43B4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14:paraId="7A538730">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930" w:type="dxa"/>
            <w:tcBorders>
              <w:top w:val="single" w:color="auto" w:sz="4" w:space="0"/>
              <w:left w:val="single" w:color="auto" w:sz="4" w:space="0"/>
              <w:bottom w:val="single" w:color="auto" w:sz="4" w:space="0"/>
              <w:right w:val="single" w:color="auto" w:sz="4" w:space="0"/>
            </w:tcBorders>
            <w:vAlign w:val="center"/>
          </w:tcPr>
          <w:p w14:paraId="5E3BEEEF">
            <w:pPr>
              <w:spacing w:line="276" w:lineRule="auto"/>
              <w:jc w:val="center"/>
              <w:rPr>
                <w:rFonts w:hint="eastAsia" w:ascii="仿宋" w:hAnsi="仿宋" w:eastAsia="仿宋" w:cs="仿宋"/>
                <w:color w:val="auto"/>
                <w:szCs w:val="21"/>
              </w:rPr>
            </w:pPr>
          </w:p>
        </w:tc>
        <w:tc>
          <w:tcPr>
            <w:tcW w:w="1547" w:type="dxa"/>
            <w:tcBorders>
              <w:top w:val="single" w:color="auto" w:sz="4" w:space="0"/>
              <w:left w:val="single" w:color="auto" w:sz="4" w:space="0"/>
              <w:bottom w:val="single" w:color="auto" w:sz="4" w:space="0"/>
              <w:right w:val="single" w:color="auto" w:sz="4" w:space="0"/>
            </w:tcBorders>
            <w:vAlign w:val="center"/>
          </w:tcPr>
          <w:p w14:paraId="1E1C785C">
            <w:pPr>
              <w:spacing w:line="276" w:lineRule="auto"/>
              <w:rPr>
                <w:rFonts w:hint="eastAsia" w:ascii="仿宋" w:hAnsi="仿宋" w:eastAsia="仿宋" w:cs="仿宋"/>
                <w:color w:val="auto"/>
                <w:szCs w:val="21"/>
              </w:rPr>
            </w:pPr>
            <w:r>
              <w:rPr>
                <w:rFonts w:hint="eastAsia" w:ascii="仿宋" w:hAnsi="仿宋" w:eastAsia="仿宋" w:cs="仿宋"/>
                <w:color w:val="auto"/>
              </w:rPr>
              <w:t>尺寸</w:t>
            </w:r>
          </w:p>
        </w:tc>
        <w:tc>
          <w:tcPr>
            <w:tcW w:w="4328" w:type="dxa"/>
            <w:tcBorders>
              <w:top w:val="single" w:color="auto" w:sz="4" w:space="0"/>
              <w:left w:val="single" w:color="auto" w:sz="4" w:space="0"/>
              <w:bottom w:val="single" w:color="auto" w:sz="4" w:space="0"/>
              <w:right w:val="single" w:color="auto" w:sz="4" w:space="0"/>
            </w:tcBorders>
            <w:shd w:val="clear" w:color="auto" w:fill="auto"/>
            <w:vAlign w:val="center"/>
          </w:tcPr>
          <w:p w14:paraId="4AAEC007">
            <w:pPr>
              <w:spacing w:line="276" w:lineRule="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rPr>
              <w:t>30-48 节电池/个，主体材质采用 6 号槽钢，可承重 1300KG；</w:t>
            </w:r>
          </w:p>
        </w:tc>
        <w:tc>
          <w:tcPr>
            <w:tcW w:w="1032" w:type="dxa"/>
            <w:tcBorders>
              <w:top w:val="single" w:color="auto" w:sz="4" w:space="0"/>
              <w:left w:val="single" w:color="auto" w:sz="4" w:space="0"/>
              <w:bottom w:val="single" w:color="auto" w:sz="4" w:space="0"/>
              <w:right w:val="single" w:color="auto" w:sz="4" w:space="0"/>
            </w:tcBorders>
            <w:shd w:val="clear" w:color="auto" w:fill="auto"/>
            <w:vAlign w:val="center"/>
          </w:tcPr>
          <w:p w14:paraId="4A3DB397">
            <w:pPr>
              <w:spacing w:line="276" w:lineRule="auto"/>
              <w:jc w:val="center"/>
              <w:rPr>
                <w:rFonts w:hint="eastAsia" w:ascii="仿宋" w:hAnsi="仿宋" w:eastAsia="仿宋" w:cs="仿宋"/>
                <w:color w:val="auto"/>
              </w:rPr>
            </w:pPr>
            <w:r>
              <w:rPr>
                <w:rFonts w:hint="eastAsia" w:ascii="仿宋" w:hAnsi="仿宋" w:eastAsia="仿宋" w:cs="仿宋"/>
                <w:i w:val="0"/>
                <w:iCs w:val="0"/>
                <w:color w:val="auto"/>
                <w:kern w:val="0"/>
                <w:sz w:val="20"/>
                <w:szCs w:val="20"/>
                <w:u w:val="none"/>
                <w:lang w:val="en-US" w:eastAsia="zh-CN" w:bidi="ar"/>
              </w:rPr>
              <w:t>否</w:t>
            </w:r>
          </w:p>
        </w:tc>
      </w:tr>
      <w:tr w14:paraId="63854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681" w:type="dxa"/>
            <w:tcBorders>
              <w:top w:val="single" w:color="auto" w:sz="4" w:space="0"/>
              <w:left w:val="single" w:color="auto" w:sz="4" w:space="0"/>
              <w:bottom w:val="single" w:color="auto" w:sz="4" w:space="0"/>
              <w:right w:val="single" w:color="auto" w:sz="4" w:space="0"/>
            </w:tcBorders>
            <w:vAlign w:val="center"/>
          </w:tcPr>
          <w:p w14:paraId="7E3C37A0">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rPr>
              <w:t>2</w:t>
            </w:r>
          </w:p>
        </w:tc>
        <w:tc>
          <w:tcPr>
            <w:tcW w:w="930" w:type="dxa"/>
            <w:tcBorders>
              <w:top w:val="single" w:color="auto" w:sz="4" w:space="0"/>
              <w:left w:val="single" w:color="auto" w:sz="4" w:space="0"/>
              <w:bottom w:val="single" w:color="auto" w:sz="4" w:space="0"/>
              <w:right w:val="single" w:color="auto" w:sz="4" w:space="0"/>
            </w:tcBorders>
            <w:vAlign w:val="center"/>
          </w:tcPr>
          <w:p w14:paraId="5CD31F8A">
            <w:pPr>
              <w:spacing w:line="276" w:lineRule="auto"/>
              <w:jc w:val="center"/>
              <w:rPr>
                <w:rFonts w:hint="eastAsia" w:ascii="仿宋" w:hAnsi="仿宋" w:eastAsia="仿宋" w:cs="仿宋"/>
                <w:color w:val="auto"/>
                <w:szCs w:val="21"/>
              </w:rPr>
            </w:pPr>
          </w:p>
        </w:tc>
        <w:tc>
          <w:tcPr>
            <w:tcW w:w="1547" w:type="dxa"/>
            <w:tcBorders>
              <w:top w:val="single" w:color="auto" w:sz="4" w:space="0"/>
              <w:left w:val="single" w:color="auto" w:sz="4" w:space="0"/>
              <w:bottom w:val="single" w:color="auto" w:sz="4" w:space="0"/>
              <w:right w:val="single" w:color="auto" w:sz="4" w:space="0"/>
            </w:tcBorders>
            <w:vAlign w:val="center"/>
          </w:tcPr>
          <w:p w14:paraId="14360F1A">
            <w:pPr>
              <w:spacing w:line="276" w:lineRule="auto"/>
              <w:rPr>
                <w:rFonts w:hint="eastAsia" w:ascii="仿宋" w:hAnsi="仿宋" w:eastAsia="仿宋" w:cs="仿宋"/>
                <w:color w:val="auto"/>
                <w:szCs w:val="21"/>
                <w:lang w:eastAsia="zh-CN"/>
              </w:rPr>
            </w:pPr>
            <w:r>
              <w:rPr>
                <w:rFonts w:hint="eastAsia" w:ascii="仿宋" w:hAnsi="仿宋" w:eastAsia="仿宋" w:cs="仿宋"/>
                <w:color w:val="auto"/>
                <w:lang w:val="en-US" w:eastAsia="zh-CN"/>
              </w:rPr>
              <w:t>配套</w:t>
            </w:r>
          </w:p>
        </w:tc>
        <w:tc>
          <w:tcPr>
            <w:tcW w:w="4328" w:type="dxa"/>
            <w:tcBorders>
              <w:top w:val="single" w:color="auto" w:sz="4" w:space="0"/>
              <w:left w:val="single" w:color="auto" w:sz="4" w:space="0"/>
              <w:bottom w:val="single" w:color="auto" w:sz="4" w:space="0"/>
              <w:right w:val="single" w:color="auto" w:sz="4" w:space="0"/>
            </w:tcBorders>
            <w:shd w:val="clear" w:color="auto" w:fill="auto"/>
            <w:vAlign w:val="center"/>
          </w:tcPr>
          <w:p w14:paraId="108A60BB">
            <w:pPr>
              <w:spacing w:line="276" w:lineRule="auto"/>
              <w:rPr>
                <w:rFonts w:hint="default" w:ascii="仿宋" w:hAnsi="仿宋" w:eastAsia="仿宋" w:cs="仿宋"/>
                <w:color w:val="auto"/>
                <w:kern w:val="2"/>
                <w:sz w:val="21"/>
                <w:szCs w:val="21"/>
                <w:lang w:val="en-US" w:eastAsia="zh-CN" w:bidi="ar-SA"/>
              </w:rPr>
            </w:pPr>
            <w:r>
              <w:rPr>
                <w:rFonts w:hint="eastAsia" w:ascii="仿宋" w:hAnsi="仿宋" w:eastAsia="仿宋" w:cs="仿宋"/>
                <w:color w:val="auto"/>
                <w:lang w:val="en-US" w:eastAsia="zh-CN"/>
              </w:rPr>
              <w:t>电池之间连接铜排，上下层电池间连接线缆，4 组电池间并联线缆，电池帽，电池到电池开关柜 之间的连接线缆，UPS 到电池开关柜之间的连接 线缆，端子等；线缆均采用≥185mm²。配套</w:t>
            </w:r>
            <w:r>
              <w:rPr>
                <w:rFonts w:hint="eastAsia" w:ascii="仿宋" w:hAnsi="仿宋" w:eastAsia="仿宋" w:cs="仿宋"/>
                <w:color w:val="auto"/>
                <w:szCs w:val="21"/>
                <w:lang w:val="en-US" w:eastAsia="zh-CN"/>
              </w:rPr>
              <w:t>电池开关柜，满足系统使用需求。</w:t>
            </w:r>
          </w:p>
        </w:tc>
        <w:tc>
          <w:tcPr>
            <w:tcW w:w="1032" w:type="dxa"/>
            <w:tcBorders>
              <w:top w:val="single" w:color="auto" w:sz="4" w:space="0"/>
              <w:left w:val="single" w:color="auto" w:sz="4" w:space="0"/>
              <w:bottom w:val="single" w:color="auto" w:sz="4" w:space="0"/>
              <w:right w:val="single" w:color="auto" w:sz="4" w:space="0"/>
            </w:tcBorders>
            <w:shd w:val="clear" w:color="auto" w:fill="auto"/>
            <w:vAlign w:val="center"/>
          </w:tcPr>
          <w:p w14:paraId="3168BACF">
            <w:pPr>
              <w:spacing w:line="276" w:lineRule="auto"/>
              <w:jc w:val="center"/>
              <w:rPr>
                <w:rFonts w:hint="eastAsia" w:ascii="仿宋" w:hAnsi="仿宋" w:eastAsia="仿宋" w:cs="仿宋"/>
                <w:color w:val="auto"/>
              </w:rPr>
            </w:pPr>
            <w:r>
              <w:rPr>
                <w:rFonts w:hint="eastAsia" w:ascii="仿宋" w:hAnsi="仿宋" w:eastAsia="仿宋" w:cs="仿宋"/>
                <w:i w:val="0"/>
                <w:iCs w:val="0"/>
                <w:color w:val="auto"/>
                <w:kern w:val="0"/>
                <w:sz w:val="20"/>
                <w:szCs w:val="20"/>
                <w:u w:val="none"/>
                <w:lang w:val="en-US" w:eastAsia="zh-CN" w:bidi="ar"/>
              </w:rPr>
              <w:t>否</w:t>
            </w:r>
          </w:p>
        </w:tc>
      </w:tr>
    </w:tbl>
    <w:p w14:paraId="1568B9F7">
      <w:pPr>
        <w:pStyle w:val="6"/>
        <w:rPr>
          <w:rStyle w:val="52"/>
          <w:rFonts w:hint="eastAsia" w:ascii="仿宋" w:hAnsi="仿宋" w:eastAsia="仿宋" w:cs="仿宋"/>
          <w:b/>
          <w:bCs/>
          <w:color w:val="auto"/>
          <w:sz w:val="24"/>
          <w:szCs w:val="24"/>
          <w:lang w:val="en-US" w:eastAsia="zh-CN"/>
        </w:rPr>
      </w:pPr>
    </w:p>
    <w:p w14:paraId="12311A0E">
      <w:pPr>
        <w:pStyle w:val="6"/>
        <w:rPr>
          <w:rFonts w:hint="eastAsia" w:ascii="仿宋" w:hAnsi="仿宋" w:eastAsia="仿宋" w:cs="仿宋"/>
          <w:b/>
          <w:bCs/>
          <w:color w:val="auto"/>
          <w:sz w:val="24"/>
          <w:lang w:eastAsia="zh-CN"/>
        </w:rPr>
      </w:pPr>
      <w:r>
        <w:rPr>
          <w:rStyle w:val="52"/>
          <w:rFonts w:hint="eastAsia" w:ascii="仿宋" w:hAnsi="仿宋" w:eastAsia="仿宋" w:cs="仿宋"/>
          <w:b/>
          <w:bCs/>
          <w:color w:val="auto"/>
          <w:sz w:val="24"/>
          <w:szCs w:val="24"/>
          <w:lang w:val="en-US" w:eastAsia="zh-CN"/>
        </w:rPr>
        <w:t xml:space="preserve">1.2.9 </w:t>
      </w:r>
      <w:r>
        <w:rPr>
          <w:rFonts w:hint="eastAsia" w:ascii="仿宋" w:hAnsi="仿宋" w:eastAsia="仿宋" w:cs="仿宋"/>
          <w:b/>
          <w:bCs/>
          <w:color w:val="auto"/>
          <w:sz w:val="24"/>
        </w:rPr>
        <w:t>UPS主机</w:t>
      </w:r>
      <w:r>
        <w:rPr>
          <w:rFonts w:hint="eastAsia" w:ascii="仿宋" w:hAnsi="仿宋" w:eastAsia="仿宋" w:cs="仿宋"/>
          <w:b/>
          <w:bCs/>
          <w:color w:val="auto"/>
          <w:sz w:val="24"/>
          <w:lang w:val="en-US" w:eastAsia="zh-CN"/>
        </w:rPr>
        <w:t>2</w:t>
      </w:r>
    </w:p>
    <w:tbl>
      <w:tblPr>
        <w:tblStyle w:val="43"/>
        <w:tblW w:w="905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3"/>
        <w:gridCol w:w="625"/>
        <w:gridCol w:w="1330"/>
        <w:gridCol w:w="5714"/>
        <w:gridCol w:w="935"/>
      </w:tblGrid>
      <w:tr w14:paraId="52661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6FB97">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序号</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7C3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重要性</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81D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指标项</w:t>
            </w:r>
          </w:p>
        </w:tc>
        <w:tc>
          <w:tcPr>
            <w:tcW w:w="5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57CA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指标要求</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3040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证明材料要求</w:t>
            </w:r>
          </w:p>
        </w:tc>
      </w:tr>
      <w:tr w14:paraId="2E5D5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3701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D6A2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CFC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容量要求</w:t>
            </w:r>
          </w:p>
        </w:tc>
        <w:tc>
          <w:tcPr>
            <w:tcW w:w="5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898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模块化UPS电源系统，单个功率模块不低于40kVA，单系统容量不低于120kVA。</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2E9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01894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F169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66894">
            <w:pPr>
              <w:jc w:val="center"/>
              <w:rPr>
                <w:rFonts w:hint="eastAsia" w:ascii="仿宋" w:hAnsi="仿宋" w:eastAsia="仿宋" w:cs="仿宋"/>
                <w:i w:val="0"/>
                <w:iCs w:val="0"/>
                <w:color w:val="000000"/>
                <w:sz w:val="20"/>
                <w:szCs w:val="20"/>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D4A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基本要求</w:t>
            </w:r>
          </w:p>
        </w:tc>
        <w:tc>
          <w:tcPr>
            <w:tcW w:w="5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FAAB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UPS标准内置主/旁路输入，输出及维修旁路开关，开关为负荷开关形式。</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1843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30845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E7D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980BC">
            <w:pPr>
              <w:jc w:val="center"/>
              <w:rPr>
                <w:rFonts w:hint="eastAsia" w:ascii="仿宋" w:hAnsi="仿宋" w:eastAsia="仿宋" w:cs="仿宋"/>
                <w:i w:val="0"/>
                <w:iCs w:val="0"/>
                <w:color w:val="000000"/>
                <w:sz w:val="20"/>
                <w:szCs w:val="20"/>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C44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结构防护等级要求</w:t>
            </w:r>
          </w:p>
        </w:tc>
        <w:tc>
          <w:tcPr>
            <w:tcW w:w="5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8655F">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需满足≥IP20防护等级</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C404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30E9E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00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3D58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5EF9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输入谐波含量要求</w:t>
            </w:r>
          </w:p>
        </w:tc>
        <w:tc>
          <w:tcPr>
            <w:tcW w:w="5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E4A2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整流器输入性能应符合满足YD/T 2165-2017《通信用模块化不间断电源》标准要求。30%/50%/100%负载率下，UPS输入谐波电流总含量要求不大于5%。(需提供产品功能截图或产品彩页或白皮书或规格书或技术参数网页截图或第三方检测报告)。</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75FF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2D42F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BD9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E3AE9">
            <w:pPr>
              <w:jc w:val="center"/>
              <w:rPr>
                <w:rFonts w:hint="eastAsia" w:ascii="仿宋" w:hAnsi="仿宋" w:eastAsia="仿宋" w:cs="仿宋"/>
                <w:i w:val="0"/>
                <w:iCs w:val="0"/>
                <w:color w:val="000000"/>
                <w:sz w:val="20"/>
                <w:szCs w:val="20"/>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7C55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系统效率</w:t>
            </w:r>
          </w:p>
        </w:tc>
        <w:tc>
          <w:tcPr>
            <w:tcW w:w="5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8128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市电模式下，UPS系统在线逆变系统效率如下：100%负载下，系统效率&gt;95%；50%负载下，系统效率&gt;95.5%；30%负载下，系统效率&gt;95%。</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096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57433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113C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06D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8884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过载能力要求</w:t>
            </w:r>
          </w:p>
        </w:tc>
        <w:tc>
          <w:tcPr>
            <w:tcW w:w="5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5967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125%负载率：≥10min；(需提供产品功能截图或产品彩页或白皮书或规格书或技术参数网页截图或第三方检测报告)。</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BCF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31180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4BB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51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E60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功率模块可靠性要求</w:t>
            </w:r>
          </w:p>
        </w:tc>
        <w:tc>
          <w:tcPr>
            <w:tcW w:w="5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72B1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UPS电气柜内功率模块交/直流端口并联要求采用母排汇流方式，禁止电缆+接线端子方式(需提供实物照片证明或产品彩页或白皮书或规格书或技术参数网页截图或第三方检测报告)。</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3768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2ECE5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393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8</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40A3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2087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降额要求</w:t>
            </w:r>
          </w:p>
        </w:tc>
        <w:tc>
          <w:tcPr>
            <w:tcW w:w="5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C329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海拔高度：0～1500米，无需功率降额。投标方应详细答复投标产品的实际指标(需提供产品功能截图或产品彩页或白皮书或规格书或技术参数网页截图或第三方检测报告)。</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80A9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10526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5C84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9</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E7EA7">
            <w:pPr>
              <w:jc w:val="center"/>
              <w:rPr>
                <w:rFonts w:hint="eastAsia" w:ascii="仿宋" w:hAnsi="仿宋" w:eastAsia="仿宋" w:cs="仿宋"/>
                <w:i w:val="0"/>
                <w:iCs w:val="0"/>
                <w:color w:val="000000"/>
                <w:sz w:val="20"/>
                <w:szCs w:val="20"/>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1FB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输出电压不平衡度</w:t>
            </w:r>
          </w:p>
        </w:tc>
        <w:tc>
          <w:tcPr>
            <w:tcW w:w="5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4F25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三相负载不平衡度 100%时，三相输出电压不平衡度满足：＜±0.1％（平衡负载），＜±1％（100％不平衡负载）。</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015A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3841D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6A4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10</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9940D">
            <w:pPr>
              <w:jc w:val="center"/>
              <w:rPr>
                <w:rFonts w:hint="eastAsia" w:ascii="仿宋" w:hAnsi="仿宋" w:eastAsia="仿宋" w:cs="仿宋"/>
                <w:i w:val="0"/>
                <w:iCs w:val="0"/>
                <w:color w:val="000000"/>
                <w:sz w:val="20"/>
                <w:szCs w:val="20"/>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4866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动态电压瞬变范围</w:t>
            </w:r>
          </w:p>
        </w:tc>
        <w:tc>
          <w:tcPr>
            <w:tcW w:w="5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9732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交流输入电压不变时，负载从0－100%－0变化，交流输入中断或恢复供电时的输出电压变化量＜额定输出电压的±4％。</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B711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0EFD0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1D2E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11</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91F3">
            <w:pPr>
              <w:jc w:val="center"/>
              <w:rPr>
                <w:rFonts w:hint="eastAsia" w:ascii="仿宋" w:hAnsi="仿宋" w:eastAsia="仿宋" w:cs="仿宋"/>
                <w:i w:val="0"/>
                <w:iCs w:val="0"/>
                <w:color w:val="000000"/>
                <w:sz w:val="20"/>
                <w:szCs w:val="20"/>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7861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电池管理功能</w:t>
            </w:r>
          </w:p>
        </w:tc>
        <w:tc>
          <w:tcPr>
            <w:tcW w:w="5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B4B38">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UPS系统应支持电池节数可调，具有定期对电池组进行自动浮充、均充转换、自动温度补偿、电池组放电及记录功能。</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A901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276D1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3B54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12</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7445">
            <w:pPr>
              <w:jc w:val="center"/>
              <w:rPr>
                <w:rFonts w:hint="eastAsia" w:ascii="仿宋" w:hAnsi="仿宋" w:eastAsia="仿宋" w:cs="仿宋"/>
                <w:i w:val="0"/>
                <w:iCs w:val="0"/>
                <w:color w:val="000000"/>
                <w:sz w:val="20"/>
                <w:szCs w:val="20"/>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F04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控制器要求</w:t>
            </w:r>
          </w:p>
        </w:tc>
        <w:tc>
          <w:tcPr>
            <w:tcW w:w="5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5B76">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UPS应采用分散控制的逻辑，每个功率模块均要求内置完整的整流、逆变及控制系统，任意模块的功率或控制电路故障都不影响UPS系统整体工作运行，保证系统控制不会出现单点故障。</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DE9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1AEF1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9809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13</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B2FA6">
            <w:pPr>
              <w:jc w:val="center"/>
              <w:rPr>
                <w:rFonts w:hint="eastAsia" w:ascii="仿宋" w:hAnsi="仿宋" w:eastAsia="仿宋" w:cs="仿宋"/>
                <w:i w:val="0"/>
                <w:iCs w:val="0"/>
                <w:color w:val="000000"/>
                <w:sz w:val="20"/>
                <w:szCs w:val="20"/>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6D0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波形失真度</w:t>
            </w:r>
          </w:p>
        </w:tc>
        <w:tc>
          <w:tcPr>
            <w:tcW w:w="5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A064">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输出波形为连续的正弦波，在带100%不均衡负载时，波形失真度：线性负载 ≤1.5％，非线性负载 ≤2.5％。</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D0D5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6C5B2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5AD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14</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81A1D">
            <w:pPr>
              <w:jc w:val="center"/>
              <w:rPr>
                <w:rFonts w:hint="eastAsia" w:ascii="仿宋" w:hAnsi="仿宋" w:eastAsia="仿宋" w:cs="仿宋"/>
                <w:i w:val="0"/>
                <w:iCs w:val="0"/>
                <w:color w:val="000000"/>
                <w:sz w:val="20"/>
                <w:szCs w:val="20"/>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9AAC1">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输出稳压精度</w:t>
            </w:r>
          </w:p>
        </w:tc>
        <w:tc>
          <w:tcPr>
            <w:tcW w:w="5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BD795">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逆变器输出电压：380VAC(线)/220VAC（相），稳态精度：±0.2％。</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3AB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361BB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6A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15</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0487D">
            <w:pPr>
              <w:jc w:val="center"/>
              <w:rPr>
                <w:rFonts w:hint="eastAsia" w:ascii="仿宋" w:hAnsi="仿宋" w:eastAsia="仿宋" w:cs="仿宋"/>
                <w:i w:val="0"/>
                <w:iCs w:val="0"/>
                <w:color w:val="000000"/>
                <w:sz w:val="20"/>
                <w:szCs w:val="20"/>
                <w:u w:val="none"/>
              </w:rPr>
            </w:pPr>
          </w:p>
        </w:tc>
        <w:tc>
          <w:tcPr>
            <w:tcW w:w="1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37BF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监控管理和预告警功能</w:t>
            </w:r>
          </w:p>
        </w:tc>
        <w:tc>
          <w:tcPr>
            <w:tcW w:w="5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809AE">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设备应能提供全中文监控及操作界面和全中文远程监控管理界面，应提供8英寸以上全中文显示的LCD显示器，方便查看与操作。</w:t>
            </w:r>
          </w:p>
        </w:tc>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F96A3">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5E6BF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4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C15E4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16</w:t>
            </w:r>
          </w:p>
        </w:tc>
        <w:tc>
          <w:tcPr>
            <w:tcW w:w="6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EB0C9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3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1B03A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配套配电柜</w:t>
            </w:r>
          </w:p>
        </w:tc>
        <w:tc>
          <w:tcPr>
            <w:tcW w:w="57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D951B9">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配套UPS汇流盒、UPS主机（含汇流盒）底座、UPS输出柜底座等；</w:t>
            </w:r>
            <w:r>
              <w:rPr>
                <w:rFonts w:hint="eastAsia" w:ascii="仿宋" w:hAnsi="仿宋" w:eastAsia="仿宋" w:cs="仿宋"/>
                <w:i w:val="0"/>
                <w:iCs w:val="0"/>
                <w:color w:val="000000"/>
                <w:kern w:val="0"/>
                <w:sz w:val="20"/>
                <w:szCs w:val="20"/>
                <w:u w:val="none"/>
                <w:lang w:val="en-US" w:eastAsia="zh-CN" w:bidi="ar"/>
              </w:rPr>
              <w:br w:type="textWrapping"/>
            </w:r>
            <w:r>
              <w:rPr>
                <w:rFonts w:hint="eastAsia" w:ascii="仿宋" w:hAnsi="仿宋" w:eastAsia="仿宋" w:cs="仿宋"/>
                <w:i w:val="0"/>
                <w:iCs w:val="0"/>
                <w:color w:val="000000"/>
                <w:kern w:val="0"/>
                <w:sz w:val="20"/>
                <w:szCs w:val="20"/>
                <w:u w:val="none"/>
                <w:lang w:val="en-US" w:eastAsia="zh-CN" w:bidi="ar"/>
              </w:rPr>
              <w:t>配套UPS输出柜1台:输入开关不低于250A×1，输出开关32A×12,20A×2。UPS输出屏为1000mm深，含底座。</w:t>
            </w:r>
          </w:p>
        </w:tc>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161C9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69ECA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4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16CFF">
            <w:pPr>
              <w:jc w:val="center"/>
              <w:rPr>
                <w:rFonts w:hint="eastAsia" w:ascii="仿宋" w:hAnsi="仿宋" w:eastAsia="仿宋" w:cs="仿宋"/>
                <w:i w:val="0"/>
                <w:iCs w:val="0"/>
                <w:color w:val="000000"/>
                <w:sz w:val="20"/>
                <w:szCs w:val="20"/>
                <w:u w:val="none"/>
              </w:rPr>
            </w:pPr>
          </w:p>
        </w:tc>
        <w:tc>
          <w:tcPr>
            <w:tcW w:w="6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6B8D4">
            <w:pPr>
              <w:jc w:val="center"/>
              <w:rPr>
                <w:rFonts w:hint="eastAsia" w:ascii="仿宋" w:hAnsi="仿宋" w:eastAsia="仿宋" w:cs="仿宋"/>
                <w:i w:val="0"/>
                <w:iCs w:val="0"/>
                <w:color w:val="000000"/>
                <w:sz w:val="20"/>
                <w:szCs w:val="20"/>
                <w:u w:val="none"/>
              </w:rPr>
            </w:pPr>
          </w:p>
        </w:tc>
        <w:tc>
          <w:tcPr>
            <w:tcW w:w="13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033C0">
            <w:pPr>
              <w:jc w:val="center"/>
              <w:rPr>
                <w:rFonts w:hint="eastAsia" w:ascii="仿宋" w:hAnsi="仿宋" w:eastAsia="仿宋" w:cs="仿宋"/>
                <w:i w:val="0"/>
                <w:iCs w:val="0"/>
                <w:color w:val="000000"/>
                <w:sz w:val="20"/>
                <w:szCs w:val="20"/>
                <w:u w:val="none"/>
              </w:rPr>
            </w:pPr>
          </w:p>
        </w:tc>
        <w:tc>
          <w:tcPr>
            <w:tcW w:w="57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1AED2">
            <w:pPr>
              <w:jc w:val="center"/>
              <w:rPr>
                <w:rFonts w:hint="eastAsia" w:ascii="仿宋" w:hAnsi="仿宋" w:eastAsia="仿宋" w:cs="仿宋"/>
                <w:i w:val="0"/>
                <w:iCs w:val="0"/>
                <w:color w:val="000000"/>
                <w:sz w:val="20"/>
                <w:szCs w:val="20"/>
                <w:u w:val="none"/>
              </w:rPr>
            </w:pPr>
          </w:p>
        </w:tc>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D36AF">
            <w:pPr>
              <w:jc w:val="center"/>
              <w:rPr>
                <w:rFonts w:hint="eastAsia" w:ascii="仿宋" w:hAnsi="仿宋" w:eastAsia="仿宋" w:cs="仿宋"/>
                <w:i w:val="0"/>
                <w:iCs w:val="0"/>
                <w:color w:val="000000"/>
                <w:sz w:val="20"/>
                <w:szCs w:val="20"/>
                <w:u w:val="none"/>
              </w:rPr>
            </w:pPr>
          </w:p>
        </w:tc>
      </w:tr>
    </w:tbl>
    <w:p w14:paraId="6EB7D355">
      <w:pPr>
        <w:pStyle w:val="6"/>
        <w:rPr>
          <w:rFonts w:hint="eastAsia" w:ascii="仿宋" w:hAnsi="仿宋" w:eastAsia="仿宋" w:cs="仿宋"/>
          <w:b/>
          <w:bCs/>
          <w:color w:val="auto"/>
          <w:sz w:val="24"/>
          <w:lang w:val="en-US" w:eastAsia="zh-CN"/>
        </w:rPr>
      </w:pPr>
    </w:p>
    <w:p w14:paraId="2323E6E3">
      <w:pPr>
        <w:pStyle w:val="6"/>
        <w:rPr>
          <w:rFonts w:hint="eastAsia" w:ascii="仿宋" w:hAnsi="仿宋" w:eastAsia="仿宋" w:cs="仿宋"/>
          <w:b/>
          <w:bCs/>
          <w:color w:val="auto"/>
          <w:sz w:val="24"/>
        </w:rPr>
      </w:pPr>
      <w:r>
        <w:rPr>
          <w:rStyle w:val="52"/>
          <w:rFonts w:hint="eastAsia" w:ascii="仿宋" w:hAnsi="仿宋" w:eastAsia="仿宋" w:cs="仿宋"/>
          <w:b/>
          <w:bCs/>
          <w:color w:val="auto"/>
          <w:sz w:val="24"/>
          <w:szCs w:val="24"/>
          <w:lang w:val="en-US" w:eastAsia="zh-CN"/>
        </w:rPr>
        <w:t xml:space="preserve">1.2.10 </w:t>
      </w:r>
      <w:r>
        <w:rPr>
          <w:rFonts w:hint="eastAsia" w:ascii="仿宋" w:hAnsi="仿宋" w:eastAsia="仿宋" w:cs="仿宋"/>
          <w:i w:val="0"/>
          <w:iCs w:val="0"/>
          <w:color w:val="auto"/>
          <w:kern w:val="0"/>
          <w:sz w:val="24"/>
          <w:szCs w:val="24"/>
          <w:u w:val="none"/>
          <w:lang w:val="en-US" w:eastAsia="zh-CN" w:bidi="ar"/>
        </w:rPr>
        <w:t>蓄电池组2</w:t>
      </w:r>
    </w:p>
    <w:tbl>
      <w:tblPr>
        <w:tblStyle w:val="43"/>
        <w:tblW w:w="8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
        <w:gridCol w:w="553"/>
        <w:gridCol w:w="942"/>
        <w:gridCol w:w="5923"/>
        <w:gridCol w:w="881"/>
      </w:tblGrid>
      <w:tr w14:paraId="3997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51" w:type="dxa"/>
            <w:tcBorders>
              <w:top w:val="single" w:color="auto" w:sz="4" w:space="0"/>
              <w:left w:val="single" w:color="auto" w:sz="4" w:space="0"/>
              <w:bottom w:val="single" w:color="auto" w:sz="4" w:space="0"/>
              <w:right w:val="single" w:color="auto" w:sz="4" w:space="0"/>
            </w:tcBorders>
            <w:vAlign w:val="center"/>
          </w:tcPr>
          <w:p w14:paraId="76992244">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rPr>
              <w:t>序号</w:t>
            </w:r>
          </w:p>
        </w:tc>
        <w:tc>
          <w:tcPr>
            <w:tcW w:w="553" w:type="dxa"/>
            <w:tcBorders>
              <w:top w:val="single" w:color="auto" w:sz="4" w:space="0"/>
              <w:left w:val="single" w:color="auto" w:sz="4" w:space="0"/>
              <w:bottom w:val="single" w:color="auto" w:sz="4" w:space="0"/>
              <w:right w:val="single" w:color="auto" w:sz="4" w:space="0"/>
            </w:tcBorders>
            <w:vAlign w:val="center"/>
          </w:tcPr>
          <w:p w14:paraId="0FB16924">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rPr>
              <w:t>重要性</w:t>
            </w:r>
          </w:p>
        </w:tc>
        <w:tc>
          <w:tcPr>
            <w:tcW w:w="942" w:type="dxa"/>
            <w:tcBorders>
              <w:top w:val="single" w:color="auto" w:sz="4" w:space="0"/>
              <w:left w:val="single" w:color="auto" w:sz="4" w:space="0"/>
              <w:bottom w:val="single" w:color="auto" w:sz="4" w:space="0"/>
              <w:right w:val="single" w:color="auto" w:sz="4" w:space="0"/>
            </w:tcBorders>
            <w:vAlign w:val="center"/>
          </w:tcPr>
          <w:p w14:paraId="64834AF5">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rPr>
              <w:t>指标项</w:t>
            </w:r>
          </w:p>
        </w:tc>
        <w:tc>
          <w:tcPr>
            <w:tcW w:w="5923" w:type="dxa"/>
            <w:tcBorders>
              <w:top w:val="single" w:color="auto" w:sz="4" w:space="0"/>
              <w:left w:val="single" w:color="auto" w:sz="4" w:space="0"/>
              <w:bottom w:val="single" w:color="auto" w:sz="4" w:space="0"/>
              <w:right w:val="single" w:color="auto" w:sz="4" w:space="0"/>
            </w:tcBorders>
            <w:vAlign w:val="center"/>
          </w:tcPr>
          <w:p w14:paraId="0E261BDE">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rPr>
              <w:t>指标要求</w:t>
            </w:r>
          </w:p>
        </w:tc>
        <w:tc>
          <w:tcPr>
            <w:tcW w:w="881" w:type="dxa"/>
            <w:tcBorders>
              <w:top w:val="single" w:color="auto" w:sz="4" w:space="0"/>
              <w:left w:val="single" w:color="auto" w:sz="4" w:space="0"/>
              <w:bottom w:val="single" w:color="auto" w:sz="4" w:space="0"/>
              <w:right w:val="single" w:color="auto" w:sz="4" w:space="0"/>
            </w:tcBorders>
            <w:vAlign w:val="center"/>
          </w:tcPr>
          <w:p w14:paraId="488369A9">
            <w:pPr>
              <w:spacing w:line="276" w:lineRule="auto"/>
              <w:jc w:val="center"/>
              <w:rPr>
                <w:rFonts w:hint="eastAsia" w:ascii="仿宋" w:hAnsi="仿宋" w:eastAsia="仿宋" w:cs="仿宋"/>
                <w:color w:val="auto"/>
                <w:szCs w:val="21"/>
              </w:rPr>
            </w:pPr>
            <w:r>
              <w:rPr>
                <w:rFonts w:hint="eastAsia" w:ascii="仿宋" w:hAnsi="仿宋" w:eastAsia="仿宋" w:cs="仿宋"/>
                <w:b/>
                <w:bCs/>
                <w:i w:val="0"/>
                <w:iCs w:val="0"/>
                <w:color w:val="auto"/>
                <w:kern w:val="0"/>
                <w:sz w:val="20"/>
                <w:szCs w:val="20"/>
                <w:u w:val="none"/>
                <w:lang w:val="en-US" w:eastAsia="zh-CN" w:bidi="ar"/>
              </w:rPr>
              <w:t>证明材料要求</w:t>
            </w:r>
          </w:p>
        </w:tc>
      </w:tr>
      <w:tr w14:paraId="6C338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51" w:type="dxa"/>
            <w:tcBorders>
              <w:top w:val="single" w:color="auto" w:sz="4" w:space="0"/>
              <w:left w:val="single" w:color="auto" w:sz="4" w:space="0"/>
              <w:bottom w:val="single" w:color="auto" w:sz="4" w:space="0"/>
              <w:right w:val="single" w:color="auto" w:sz="4" w:space="0"/>
            </w:tcBorders>
            <w:shd w:val="clear" w:color="auto" w:fill="auto"/>
            <w:vAlign w:val="center"/>
          </w:tcPr>
          <w:p w14:paraId="5EE24BFE">
            <w:pPr>
              <w:spacing w:line="276" w:lineRule="auto"/>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1</w:t>
            </w:r>
          </w:p>
        </w:tc>
        <w:tc>
          <w:tcPr>
            <w:tcW w:w="553" w:type="dxa"/>
            <w:tcBorders>
              <w:top w:val="single" w:color="auto" w:sz="4" w:space="0"/>
              <w:left w:val="single" w:color="auto" w:sz="4" w:space="0"/>
              <w:bottom w:val="single" w:color="auto" w:sz="4" w:space="0"/>
              <w:right w:val="single" w:color="auto" w:sz="4" w:space="0"/>
            </w:tcBorders>
            <w:shd w:val="clear" w:color="auto" w:fill="auto"/>
            <w:vAlign w:val="center"/>
          </w:tcPr>
          <w:p w14:paraId="722D7A59">
            <w:pPr>
              <w:spacing w:line="276" w:lineRule="auto"/>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w:t>
            </w:r>
          </w:p>
        </w:tc>
        <w:tc>
          <w:tcPr>
            <w:tcW w:w="942" w:type="dxa"/>
            <w:tcBorders>
              <w:top w:val="single" w:color="auto" w:sz="4" w:space="0"/>
              <w:left w:val="single" w:color="auto" w:sz="4" w:space="0"/>
              <w:bottom w:val="single" w:color="auto" w:sz="4" w:space="0"/>
              <w:right w:val="single" w:color="auto" w:sz="4" w:space="0"/>
            </w:tcBorders>
            <w:shd w:val="clear" w:color="auto" w:fill="auto"/>
            <w:vAlign w:val="center"/>
          </w:tcPr>
          <w:p w14:paraId="051C4B0A">
            <w:pPr>
              <w:spacing w:line="276" w:lineRule="auto"/>
              <w:rPr>
                <w:rFonts w:hint="default"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规格</w:t>
            </w:r>
          </w:p>
        </w:tc>
        <w:tc>
          <w:tcPr>
            <w:tcW w:w="5923" w:type="dxa"/>
            <w:tcBorders>
              <w:top w:val="single" w:color="auto" w:sz="4" w:space="0"/>
              <w:left w:val="single" w:color="auto" w:sz="4" w:space="0"/>
              <w:bottom w:val="single" w:color="auto" w:sz="4" w:space="0"/>
              <w:right w:val="single" w:color="auto" w:sz="4" w:space="0"/>
            </w:tcBorders>
            <w:shd w:val="clear" w:color="auto" w:fill="auto"/>
            <w:vAlign w:val="center"/>
          </w:tcPr>
          <w:p w14:paraId="6FE736B4">
            <w:pPr>
              <w:spacing w:line="276" w:lineRule="auto"/>
              <w:rPr>
                <w:rFonts w:hint="eastAsia" w:ascii="仿宋" w:hAnsi="仿宋" w:eastAsia="仿宋" w:cs="仿宋"/>
                <w:color w:val="auto"/>
                <w:kern w:val="2"/>
                <w:sz w:val="21"/>
                <w:szCs w:val="21"/>
                <w:lang w:val="en-US" w:eastAsia="zh-CN" w:bidi="ar-SA"/>
              </w:rPr>
            </w:pPr>
            <w:r>
              <w:rPr>
                <w:rFonts w:hint="eastAsia" w:ascii="仿宋" w:hAnsi="仿宋" w:eastAsia="仿宋" w:cs="仿宋"/>
                <w:b w:val="0"/>
                <w:bCs w:val="0"/>
                <w:color w:val="auto"/>
                <w:sz w:val="24"/>
                <w:lang w:val="en-US" w:eastAsia="zh-CN"/>
              </w:rPr>
              <w:t>配套UPS2使用，</w:t>
            </w:r>
            <w:r>
              <w:rPr>
                <w:rFonts w:hint="eastAsia" w:ascii="仿宋" w:hAnsi="仿宋" w:eastAsia="仿宋" w:cs="仿宋"/>
                <w:b w:val="0"/>
                <w:bCs w:val="0"/>
                <w:color w:val="auto"/>
                <w:sz w:val="24"/>
              </w:rPr>
              <w:t>每台UPS配套3组电池，每组32只12V200Ah</w:t>
            </w:r>
            <w:r>
              <w:rPr>
                <w:rFonts w:hint="eastAsia" w:ascii="仿宋" w:hAnsi="仿宋" w:eastAsia="仿宋" w:cs="仿宋"/>
                <w:b w:val="0"/>
                <w:bCs w:val="0"/>
                <w:color w:val="auto"/>
                <w:sz w:val="24"/>
                <w:lang w:val="en-US" w:eastAsia="zh-CN"/>
              </w:rPr>
              <w:t>电池</w:t>
            </w:r>
          </w:p>
        </w:tc>
        <w:tc>
          <w:tcPr>
            <w:tcW w:w="881" w:type="dxa"/>
            <w:tcBorders>
              <w:top w:val="single" w:color="auto" w:sz="4" w:space="0"/>
              <w:left w:val="single" w:color="auto" w:sz="4" w:space="0"/>
              <w:bottom w:val="single" w:color="auto" w:sz="4" w:space="0"/>
              <w:right w:val="single" w:color="auto" w:sz="4" w:space="0"/>
            </w:tcBorders>
            <w:vAlign w:val="center"/>
          </w:tcPr>
          <w:p w14:paraId="2F0B1ED7">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否</w:t>
            </w:r>
          </w:p>
        </w:tc>
      </w:tr>
      <w:tr w14:paraId="10263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51" w:type="dxa"/>
            <w:tcBorders>
              <w:top w:val="single" w:color="auto" w:sz="4" w:space="0"/>
              <w:left w:val="single" w:color="auto" w:sz="4" w:space="0"/>
              <w:bottom w:val="single" w:color="auto" w:sz="4" w:space="0"/>
              <w:right w:val="single" w:color="auto" w:sz="4" w:space="0"/>
            </w:tcBorders>
            <w:shd w:val="clear" w:color="auto" w:fill="auto"/>
            <w:vAlign w:val="center"/>
          </w:tcPr>
          <w:p w14:paraId="3B11F31B">
            <w:pPr>
              <w:spacing w:line="276" w:lineRule="auto"/>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2</w:t>
            </w:r>
          </w:p>
        </w:tc>
        <w:tc>
          <w:tcPr>
            <w:tcW w:w="553" w:type="dxa"/>
            <w:tcBorders>
              <w:top w:val="single" w:color="auto" w:sz="4" w:space="0"/>
              <w:left w:val="single" w:color="auto" w:sz="4" w:space="0"/>
              <w:bottom w:val="single" w:color="auto" w:sz="4" w:space="0"/>
              <w:right w:val="single" w:color="auto" w:sz="4" w:space="0"/>
            </w:tcBorders>
            <w:vAlign w:val="center"/>
          </w:tcPr>
          <w:p w14:paraId="2CD66C14">
            <w:pPr>
              <w:spacing w:line="276" w:lineRule="auto"/>
              <w:jc w:val="center"/>
              <w:rPr>
                <w:rFonts w:hint="eastAsia" w:ascii="仿宋" w:hAnsi="仿宋" w:eastAsia="仿宋" w:cs="仿宋"/>
                <w:color w:val="auto"/>
                <w:szCs w:val="21"/>
              </w:rPr>
            </w:pPr>
          </w:p>
        </w:tc>
        <w:tc>
          <w:tcPr>
            <w:tcW w:w="942" w:type="dxa"/>
            <w:tcBorders>
              <w:top w:val="single" w:color="auto" w:sz="4" w:space="0"/>
              <w:left w:val="single" w:color="auto" w:sz="4" w:space="0"/>
              <w:bottom w:val="single" w:color="auto" w:sz="4" w:space="0"/>
              <w:right w:val="single" w:color="auto" w:sz="4" w:space="0"/>
            </w:tcBorders>
            <w:vAlign w:val="center"/>
          </w:tcPr>
          <w:p w14:paraId="2E0832B7">
            <w:pPr>
              <w:spacing w:line="276" w:lineRule="auto"/>
              <w:rPr>
                <w:rFonts w:hint="eastAsia" w:ascii="仿宋" w:hAnsi="仿宋" w:eastAsia="仿宋" w:cs="仿宋"/>
                <w:color w:val="auto"/>
                <w:szCs w:val="21"/>
              </w:rPr>
            </w:pPr>
            <w:r>
              <w:rPr>
                <w:rFonts w:hint="eastAsia" w:ascii="仿宋" w:hAnsi="仿宋" w:eastAsia="仿宋" w:cs="仿宋"/>
                <w:color w:val="auto"/>
                <w:szCs w:val="21"/>
              </w:rPr>
              <w:t>工作温度</w:t>
            </w:r>
          </w:p>
        </w:tc>
        <w:tc>
          <w:tcPr>
            <w:tcW w:w="5923" w:type="dxa"/>
            <w:tcBorders>
              <w:top w:val="single" w:color="auto" w:sz="4" w:space="0"/>
              <w:left w:val="single" w:color="auto" w:sz="4" w:space="0"/>
              <w:bottom w:val="single" w:color="auto" w:sz="4" w:space="0"/>
              <w:right w:val="single" w:color="auto" w:sz="4" w:space="0"/>
            </w:tcBorders>
            <w:vAlign w:val="center"/>
          </w:tcPr>
          <w:p w14:paraId="228F7C66">
            <w:pPr>
              <w:spacing w:line="276" w:lineRule="auto"/>
              <w:rPr>
                <w:rFonts w:hint="eastAsia" w:ascii="仿宋" w:hAnsi="仿宋" w:eastAsia="仿宋" w:cs="仿宋"/>
                <w:color w:val="auto"/>
                <w:szCs w:val="21"/>
              </w:rPr>
            </w:pPr>
            <w:r>
              <w:rPr>
                <w:rFonts w:hint="eastAsia" w:ascii="仿宋" w:hAnsi="仿宋" w:eastAsia="仿宋" w:cs="仿宋"/>
                <w:color w:val="auto"/>
                <w:szCs w:val="21"/>
              </w:rPr>
              <w:t>蓄电池产品应能在下述条件下允许工作：</w:t>
            </w:r>
          </w:p>
          <w:p w14:paraId="539B57EF">
            <w:pPr>
              <w:spacing w:line="276" w:lineRule="auto"/>
              <w:rPr>
                <w:rFonts w:hint="eastAsia" w:ascii="仿宋" w:hAnsi="仿宋" w:eastAsia="仿宋" w:cs="仿宋"/>
                <w:color w:val="auto"/>
                <w:szCs w:val="21"/>
              </w:rPr>
            </w:pPr>
            <w:r>
              <w:rPr>
                <w:rFonts w:hint="eastAsia" w:ascii="仿宋" w:hAnsi="仿宋" w:eastAsia="仿宋" w:cs="仿宋"/>
                <w:color w:val="auto"/>
                <w:szCs w:val="21"/>
              </w:rPr>
              <w:t>工作温度：－15～+50℃；</w:t>
            </w:r>
          </w:p>
        </w:tc>
        <w:tc>
          <w:tcPr>
            <w:tcW w:w="881" w:type="dxa"/>
            <w:tcBorders>
              <w:top w:val="single" w:color="auto" w:sz="4" w:space="0"/>
              <w:left w:val="single" w:color="auto" w:sz="4" w:space="0"/>
              <w:bottom w:val="single" w:color="auto" w:sz="4" w:space="0"/>
              <w:right w:val="single" w:color="auto" w:sz="4" w:space="0"/>
            </w:tcBorders>
            <w:vAlign w:val="center"/>
          </w:tcPr>
          <w:p w14:paraId="3707DC56">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否</w:t>
            </w:r>
          </w:p>
        </w:tc>
      </w:tr>
      <w:tr w14:paraId="09D6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51" w:type="dxa"/>
            <w:tcBorders>
              <w:top w:val="single" w:color="auto" w:sz="4" w:space="0"/>
              <w:left w:val="single" w:color="auto" w:sz="4" w:space="0"/>
              <w:bottom w:val="single" w:color="auto" w:sz="4" w:space="0"/>
              <w:right w:val="single" w:color="auto" w:sz="4" w:space="0"/>
            </w:tcBorders>
            <w:shd w:val="clear" w:color="auto" w:fill="auto"/>
            <w:vAlign w:val="center"/>
          </w:tcPr>
          <w:p w14:paraId="5E7439F8">
            <w:pPr>
              <w:spacing w:line="276" w:lineRule="auto"/>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3</w:t>
            </w:r>
          </w:p>
        </w:tc>
        <w:tc>
          <w:tcPr>
            <w:tcW w:w="553" w:type="dxa"/>
            <w:tcBorders>
              <w:top w:val="single" w:color="auto" w:sz="4" w:space="0"/>
              <w:left w:val="single" w:color="auto" w:sz="4" w:space="0"/>
              <w:bottom w:val="single" w:color="auto" w:sz="4" w:space="0"/>
              <w:right w:val="single" w:color="auto" w:sz="4" w:space="0"/>
            </w:tcBorders>
            <w:vAlign w:val="center"/>
          </w:tcPr>
          <w:p w14:paraId="37CA9EF1">
            <w:pPr>
              <w:spacing w:line="276" w:lineRule="auto"/>
              <w:jc w:val="center"/>
              <w:rPr>
                <w:rFonts w:hint="eastAsia" w:ascii="仿宋" w:hAnsi="仿宋" w:eastAsia="仿宋" w:cs="仿宋"/>
                <w:color w:val="auto"/>
                <w:szCs w:val="21"/>
              </w:rPr>
            </w:pPr>
          </w:p>
        </w:tc>
        <w:tc>
          <w:tcPr>
            <w:tcW w:w="942" w:type="dxa"/>
            <w:tcBorders>
              <w:top w:val="single" w:color="auto" w:sz="4" w:space="0"/>
              <w:left w:val="single" w:color="auto" w:sz="4" w:space="0"/>
              <w:bottom w:val="single" w:color="auto" w:sz="4" w:space="0"/>
              <w:right w:val="single" w:color="auto" w:sz="4" w:space="0"/>
            </w:tcBorders>
            <w:vAlign w:val="center"/>
          </w:tcPr>
          <w:p w14:paraId="6DAB8E04">
            <w:pPr>
              <w:spacing w:line="276" w:lineRule="auto"/>
              <w:rPr>
                <w:rFonts w:hint="eastAsia" w:ascii="仿宋" w:hAnsi="仿宋" w:eastAsia="仿宋" w:cs="仿宋"/>
                <w:color w:val="auto"/>
                <w:szCs w:val="21"/>
              </w:rPr>
            </w:pPr>
            <w:r>
              <w:rPr>
                <w:rFonts w:hint="eastAsia" w:ascii="仿宋" w:hAnsi="仿宋" w:eastAsia="仿宋" w:cs="仿宋"/>
                <w:color w:val="auto"/>
                <w:szCs w:val="21"/>
              </w:rPr>
              <w:t>放电容量测试</w:t>
            </w:r>
          </w:p>
        </w:tc>
        <w:tc>
          <w:tcPr>
            <w:tcW w:w="5923" w:type="dxa"/>
            <w:tcBorders>
              <w:top w:val="single" w:color="auto" w:sz="4" w:space="0"/>
              <w:left w:val="single" w:color="auto" w:sz="4" w:space="0"/>
              <w:bottom w:val="single" w:color="auto" w:sz="4" w:space="0"/>
              <w:right w:val="single" w:color="auto" w:sz="4" w:space="0"/>
            </w:tcBorders>
            <w:vAlign w:val="center"/>
          </w:tcPr>
          <w:p w14:paraId="6989ED05">
            <w:pPr>
              <w:spacing w:line="276" w:lineRule="auto"/>
              <w:rPr>
                <w:rFonts w:hint="eastAsia" w:ascii="仿宋" w:hAnsi="仿宋" w:eastAsia="仿宋" w:cs="仿宋"/>
                <w:color w:val="auto"/>
                <w:szCs w:val="21"/>
              </w:rPr>
            </w:pPr>
            <w:r>
              <w:rPr>
                <w:rFonts w:hint="eastAsia" w:ascii="仿宋" w:hAnsi="仿宋" w:eastAsia="仿宋" w:cs="仿宋"/>
                <w:color w:val="auto"/>
                <w:szCs w:val="21"/>
              </w:rPr>
              <w:t>进行10h率放电容量测试时，蓄电池实测容量与标称额定容量不允许出现负偏差。</w:t>
            </w:r>
          </w:p>
          <w:p w14:paraId="59B5DA19">
            <w:pPr>
              <w:spacing w:line="276" w:lineRule="auto"/>
              <w:rPr>
                <w:rFonts w:hint="eastAsia" w:ascii="仿宋" w:hAnsi="仿宋" w:eastAsia="仿宋" w:cs="仿宋"/>
                <w:color w:val="auto"/>
                <w:szCs w:val="21"/>
              </w:rPr>
            </w:pPr>
            <w:r>
              <w:rPr>
                <w:rFonts w:hint="eastAsia" w:ascii="仿宋" w:hAnsi="仿宋" w:eastAsia="仿宋" w:cs="仿宋"/>
                <w:color w:val="auto"/>
                <w:szCs w:val="21"/>
              </w:rPr>
              <w:t>进行3h率放电容量测试时，以0.25C放电至10.8V，蓄电池实测容量要达到标称额定容量的75%以上。</w:t>
            </w:r>
          </w:p>
        </w:tc>
        <w:tc>
          <w:tcPr>
            <w:tcW w:w="881" w:type="dxa"/>
            <w:tcBorders>
              <w:top w:val="single" w:color="auto" w:sz="4" w:space="0"/>
              <w:left w:val="single" w:color="auto" w:sz="4" w:space="0"/>
              <w:bottom w:val="single" w:color="auto" w:sz="4" w:space="0"/>
              <w:right w:val="single" w:color="auto" w:sz="4" w:space="0"/>
            </w:tcBorders>
            <w:vAlign w:val="center"/>
          </w:tcPr>
          <w:p w14:paraId="53BA7A77">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否</w:t>
            </w:r>
          </w:p>
        </w:tc>
      </w:tr>
      <w:tr w14:paraId="379C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51" w:type="dxa"/>
            <w:tcBorders>
              <w:top w:val="single" w:color="auto" w:sz="4" w:space="0"/>
              <w:left w:val="single" w:color="auto" w:sz="4" w:space="0"/>
              <w:bottom w:val="single" w:color="auto" w:sz="4" w:space="0"/>
              <w:right w:val="single" w:color="auto" w:sz="4" w:space="0"/>
            </w:tcBorders>
            <w:shd w:val="clear" w:color="auto" w:fill="auto"/>
            <w:vAlign w:val="center"/>
          </w:tcPr>
          <w:p w14:paraId="2C0B56AC">
            <w:pPr>
              <w:spacing w:line="276" w:lineRule="auto"/>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4</w:t>
            </w:r>
          </w:p>
        </w:tc>
        <w:tc>
          <w:tcPr>
            <w:tcW w:w="553" w:type="dxa"/>
            <w:tcBorders>
              <w:top w:val="single" w:color="auto" w:sz="4" w:space="0"/>
              <w:left w:val="single" w:color="auto" w:sz="4" w:space="0"/>
              <w:bottom w:val="single" w:color="auto" w:sz="4" w:space="0"/>
              <w:right w:val="single" w:color="auto" w:sz="4" w:space="0"/>
            </w:tcBorders>
            <w:vAlign w:val="center"/>
          </w:tcPr>
          <w:p w14:paraId="5CA45766">
            <w:pPr>
              <w:spacing w:line="276" w:lineRule="auto"/>
              <w:jc w:val="center"/>
              <w:rPr>
                <w:rFonts w:hint="eastAsia" w:ascii="仿宋" w:hAnsi="仿宋" w:eastAsia="仿宋" w:cs="仿宋"/>
                <w:color w:val="auto"/>
                <w:szCs w:val="21"/>
              </w:rPr>
            </w:pPr>
          </w:p>
        </w:tc>
        <w:tc>
          <w:tcPr>
            <w:tcW w:w="942" w:type="dxa"/>
            <w:tcBorders>
              <w:top w:val="single" w:color="auto" w:sz="4" w:space="0"/>
              <w:left w:val="single" w:color="auto" w:sz="4" w:space="0"/>
              <w:bottom w:val="single" w:color="auto" w:sz="4" w:space="0"/>
              <w:right w:val="single" w:color="auto" w:sz="4" w:space="0"/>
            </w:tcBorders>
            <w:vAlign w:val="center"/>
          </w:tcPr>
          <w:p w14:paraId="4D910377">
            <w:pPr>
              <w:spacing w:line="276" w:lineRule="auto"/>
              <w:rPr>
                <w:rFonts w:hint="eastAsia" w:ascii="仿宋" w:hAnsi="仿宋" w:eastAsia="仿宋" w:cs="仿宋"/>
                <w:color w:val="auto"/>
                <w:szCs w:val="21"/>
              </w:rPr>
            </w:pPr>
            <w:r>
              <w:rPr>
                <w:rFonts w:hint="eastAsia" w:ascii="仿宋" w:hAnsi="仿宋" w:eastAsia="仿宋" w:cs="仿宋"/>
                <w:color w:val="auto"/>
                <w:szCs w:val="21"/>
              </w:rPr>
              <w:t>温度特性</w:t>
            </w:r>
          </w:p>
        </w:tc>
        <w:tc>
          <w:tcPr>
            <w:tcW w:w="5923" w:type="dxa"/>
            <w:tcBorders>
              <w:top w:val="single" w:color="auto" w:sz="4" w:space="0"/>
              <w:left w:val="single" w:color="auto" w:sz="4" w:space="0"/>
              <w:bottom w:val="single" w:color="auto" w:sz="4" w:space="0"/>
              <w:right w:val="single" w:color="auto" w:sz="4" w:space="0"/>
            </w:tcBorders>
            <w:vAlign w:val="center"/>
          </w:tcPr>
          <w:p w14:paraId="31170E3C">
            <w:pPr>
              <w:spacing w:line="276" w:lineRule="auto"/>
              <w:rPr>
                <w:rFonts w:hint="eastAsia" w:ascii="仿宋" w:hAnsi="仿宋" w:eastAsia="仿宋" w:cs="仿宋"/>
                <w:color w:val="auto"/>
                <w:szCs w:val="21"/>
              </w:rPr>
            </w:pPr>
            <w:r>
              <w:rPr>
                <w:rFonts w:hint="eastAsia" w:ascii="仿宋" w:hAnsi="仿宋" w:eastAsia="仿宋" w:cs="仿宋"/>
                <w:color w:val="auto"/>
                <w:szCs w:val="21"/>
              </w:rPr>
              <w:t>蓄电池在工作环境温度为0℃时的容量应不低于该电池标称容量（25℃时的C10）的80%。</w:t>
            </w:r>
          </w:p>
        </w:tc>
        <w:tc>
          <w:tcPr>
            <w:tcW w:w="881" w:type="dxa"/>
            <w:tcBorders>
              <w:top w:val="single" w:color="auto" w:sz="4" w:space="0"/>
              <w:left w:val="single" w:color="auto" w:sz="4" w:space="0"/>
              <w:bottom w:val="single" w:color="auto" w:sz="4" w:space="0"/>
              <w:right w:val="single" w:color="auto" w:sz="4" w:space="0"/>
            </w:tcBorders>
            <w:vAlign w:val="center"/>
          </w:tcPr>
          <w:p w14:paraId="6D700DA9">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否</w:t>
            </w:r>
          </w:p>
        </w:tc>
      </w:tr>
      <w:tr w14:paraId="42B31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51" w:type="dxa"/>
            <w:tcBorders>
              <w:top w:val="single" w:color="auto" w:sz="4" w:space="0"/>
              <w:left w:val="single" w:color="auto" w:sz="4" w:space="0"/>
              <w:bottom w:val="single" w:color="auto" w:sz="4" w:space="0"/>
              <w:right w:val="single" w:color="auto" w:sz="4" w:space="0"/>
            </w:tcBorders>
            <w:shd w:val="clear" w:color="auto" w:fill="auto"/>
            <w:vAlign w:val="center"/>
          </w:tcPr>
          <w:p w14:paraId="69EBCD4D">
            <w:pPr>
              <w:spacing w:line="276" w:lineRule="auto"/>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5</w:t>
            </w:r>
          </w:p>
        </w:tc>
        <w:tc>
          <w:tcPr>
            <w:tcW w:w="553" w:type="dxa"/>
            <w:tcBorders>
              <w:top w:val="single" w:color="auto" w:sz="4" w:space="0"/>
              <w:left w:val="single" w:color="auto" w:sz="4" w:space="0"/>
              <w:bottom w:val="single" w:color="auto" w:sz="4" w:space="0"/>
              <w:right w:val="single" w:color="auto" w:sz="4" w:space="0"/>
            </w:tcBorders>
            <w:vAlign w:val="center"/>
          </w:tcPr>
          <w:p w14:paraId="590B13F0">
            <w:pPr>
              <w:spacing w:line="276" w:lineRule="auto"/>
              <w:jc w:val="center"/>
              <w:rPr>
                <w:rFonts w:hint="eastAsia" w:ascii="仿宋" w:hAnsi="仿宋" w:eastAsia="仿宋" w:cs="仿宋"/>
                <w:color w:val="auto"/>
                <w:szCs w:val="21"/>
              </w:rPr>
            </w:pPr>
          </w:p>
        </w:tc>
        <w:tc>
          <w:tcPr>
            <w:tcW w:w="942" w:type="dxa"/>
            <w:tcBorders>
              <w:top w:val="single" w:color="auto" w:sz="4" w:space="0"/>
              <w:left w:val="single" w:color="auto" w:sz="4" w:space="0"/>
              <w:bottom w:val="single" w:color="auto" w:sz="4" w:space="0"/>
              <w:right w:val="single" w:color="auto" w:sz="4" w:space="0"/>
            </w:tcBorders>
            <w:vAlign w:val="center"/>
          </w:tcPr>
          <w:p w14:paraId="50C5EFAD">
            <w:pPr>
              <w:spacing w:line="276" w:lineRule="auto"/>
              <w:rPr>
                <w:rFonts w:hint="eastAsia" w:ascii="仿宋" w:hAnsi="仿宋" w:eastAsia="仿宋" w:cs="仿宋"/>
                <w:color w:val="auto"/>
                <w:szCs w:val="21"/>
              </w:rPr>
            </w:pPr>
            <w:r>
              <w:rPr>
                <w:rFonts w:hint="eastAsia" w:ascii="仿宋" w:hAnsi="仿宋" w:eastAsia="仿宋" w:cs="仿宋"/>
                <w:color w:val="auto"/>
                <w:szCs w:val="21"/>
              </w:rPr>
              <w:t>单体一致性</w:t>
            </w:r>
          </w:p>
        </w:tc>
        <w:tc>
          <w:tcPr>
            <w:tcW w:w="5923" w:type="dxa"/>
            <w:tcBorders>
              <w:top w:val="single" w:color="auto" w:sz="4" w:space="0"/>
              <w:left w:val="single" w:color="auto" w:sz="4" w:space="0"/>
              <w:bottom w:val="single" w:color="auto" w:sz="4" w:space="0"/>
              <w:right w:val="single" w:color="auto" w:sz="4" w:space="0"/>
            </w:tcBorders>
            <w:vAlign w:val="center"/>
          </w:tcPr>
          <w:p w14:paraId="38EAB5B2">
            <w:pPr>
              <w:spacing w:line="276" w:lineRule="auto"/>
              <w:rPr>
                <w:rFonts w:hint="eastAsia" w:ascii="仿宋" w:hAnsi="仿宋" w:eastAsia="仿宋" w:cs="仿宋"/>
                <w:color w:val="auto"/>
                <w:szCs w:val="21"/>
              </w:rPr>
            </w:pPr>
            <w:r>
              <w:rPr>
                <w:rFonts w:hint="eastAsia" w:ascii="仿宋" w:hAnsi="仿宋" w:eastAsia="仿宋" w:cs="仿宋"/>
                <w:color w:val="auto"/>
                <w:szCs w:val="21"/>
              </w:rPr>
              <w:t>内部由6个2V单体组成一体的组合蓄电池组（12V蓄电池），其各电池间的开路电压最高与最低差值≤100mV（12V）。</w:t>
            </w:r>
          </w:p>
        </w:tc>
        <w:tc>
          <w:tcPr>
            <w:tcW w:w="881" w:type="dxa"/>
            <w:tcBorders>
              <w:top w:val="single" w:color="auto" w:sz="4" w:space="0"/>
              <w:left w:val="single" w:color="auto" w:sz="4" w:space="0"/>
              <w:bottom w:val="single" w:color="auto" w:sz="4" w:space="0"/>
              <w:right w:val="single" w:color="auto" w:sz="4" w:space="0"/>
            </w:tcBorders>
            <w:vAlign w:val="center"/>
          </w:tcPr>
          <w:p w14:paraId="48375E4C">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否</w:t>
            </w:r>
          </w:p>
        </w:tc>
      </w:tr>
      <w:tr w14:paraId="595FA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51" w:type="dxa"/>
            <w:tcBorders>
              <w:top w:val="single" w:color="auto" w:sz="4" w:space="0"/>
              <w:left w:val="single" w:color="auto" w:sz="4" w:space="0"/>
              <w:bottom w:val="single" w:color="auto" w:sz="4" w:space="0"/>
              <w:right w:val="single" w:color="auto" w:sz="4" w:space="0"/>
            </w:tcBorders>
            <w:shd w:val="clear" w:color="auto" w:fill="auto"/>
            <w:vAlign w:val="center"/>
          </w:tcPr>
          <w:p w14:paraId="2932273B">
            <w:pPr>
              <w:spacing w:line="276" w:lineRule="auto"/>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6</w:t>
            </w:r>
          </w:p>
        </w:tc>
        <w:tc>
          <w:tcPr>
            <w:tcW w:w="553" w:type="dxa"/>
            <w:tcBorders>
              <w:top w:val="single" w:color="auto" w:sz="4" w:space="0"/>
              <w:left w:val="single" w:color="auto" w:sz="4" w:space="0"/>
              <w:bottom w:val="single" w:color="auto" w:sz="4" w:space="0"/>
              <w:right w:val="single" w:color="auto" w:sz="4" w:space="0"/>
            </w:tcBorders>
            <w:vAlign w:val="center"/>
          </w:tcPr>
          <w:p w14:paraId="028DE5BE">
            <w:pPr>
              <w:spacing w:line="276" w:lineRule="auto"/>
              <w:jc w:val="center"/>
              <w:rPr>
                <w:rFonts w:hint="eastAsia" w:ascii="仿宋" w:hAnsi="仿宋" w:eastAsia="仿宋" w:cs="仿宋"/>
                <w:color w:val="auto"/>
                <w:szCs w:val="21"/>
              </w:rPr>
            </w:pPr>
          </w:p>
        </w:tc>
        <w:tc>
          <w:tcPr>
            <w:tcW w:w="942" w:type="dxa"/>
            <w:tcBorders>
              <w:top w:val="single" w:color="auto" w:sz="4" w:space="0"/>
              <w:left w:val="single" w:color="auto" w:sz="4" w:space="0"/>
              <w:bottom w:val="single" w:color="auto" w:sz="4" w:space="0"/>
              <w:right w:val="single" w:color="auto" w:sz="4" w:space="0"/>
            </w:tcBorders>
            <w:vAlign w:val="center"/>
          </w:tcPr>
          <w:p w14:paraId="26CE7AE9">
            <w:pPr>
              <w:spacing w:line="276" w:lineRule="auto"/>
              <w:rPr>
                <w:rFonts w:hint="eastAsia" w:ascii="仿宋" w:hAnsi="仿宋" w:eastAsia="仿宋" w:cs="仿宋"/>
                <w:color w:val="auto"/>
                <w:szCs w:val="21"/>
              </w:rPr>
            </w:pPr>
            <w:r>
              <w:rPr>
                <w:rFonts w:hint="eastAsia" w:ascii="仿宋" w:hAnsi="仿宋" w:eastAsia="仿宋" w:cs="仿宋"/>
                <w:color w:val="auto"/>
                <w:szCs w:val="21"/>
              </w:rPr>
              <w:t>单体一致性</w:t>
            </w:r>
          </w:p>
        </w:tc>
        <w:tc>
          <w:tcPr>
            <w:tcW w:w="5923" w:type="dxa"/>
            <w:tcBorders>
              <w:top w:val="single" w:color="auto" w:sz="4" w:space="0"/>
              <w:left w:val="single" w:color="auto" w:sz="4" w:space="0"/>
              <w:bottom w:val="single" w:color="auto" w:sz="4" w:space="0"/>
              <w:right w:val="single" w:color="auto" w:sz="4" w:space="0"/>
            </w:tcBorders>
            <w:vAlign w:val="center"/>
          </w:tcPr>
          <w:p w14:paraId="5E8A9764">
            <w:pPr>
              <w:spacing w:line="276" w:lineRule="auto"/>
              <w:rPr>
                <w:rFonts w:hint="eastAsia" w:ascii="仿宋" w:hAnsi="仿宋" w:eastAsia="仿宋" w:cs="仿宋"/>
                <w:color w:val="auto"/>
                <w:szCs w:val="21"/>
              </w:rPr>
            </w:pPr>
            <w:r>
              <w:rPr>
                <w:rFonts w:hint="eastAsia" w:ascii="仿宋" w:hAnsi="仿宋" w:eastAsia="仿宋" w:cs="仿宋"/>
                <w:color w:val="auto"/>
                <w:szCs w:val="21"/>
              </w:rPr>
              <w:t>蓄电池组进入浮充状态24h后，各蓄电池间的端电压差值≤480mV（12V）。</w:t>
            </w:r>
          </w:p>
        </w:tc>
        <w:tc>
          <w:tcPr>
            <w:tcW w:w="881" w:type="dxa"/>
            <w:tcBorders>
              <w:top w:val="single" w:color="auto" w:sz="4" w:space="0"/>
              <w:left w:val="single" w:color="auto" w:sz="4" w:space="0"/>
              <w:bottom w:val="single" w:color="auto" w:sz="4" w:space="0"/>
              <w:right w:val="single" w:color="auto" w:sz="4" w:space="0"/>
            </w:tcBorders>
            <w:vAlign w:val="center"/>
          </w:tcPr>
          <w:p w14:paraId="0B9C3205">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否</w:t>
            </w:r>
          </w:p>
        </w:tc>
      </w:tr>
      <w:tr w14:paraId="7FC5C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51" w:type="dxa"/>
            <w:tcBorders>
              <w:top w:val="single" w:color="auto" w:sz="4" w:space="0"/>
              <w:left w:val="single" w:color="auto" w:sz="4" w:space="0"/>
              <w:bottom w:val="single" w:color="auto" w:sz="4" w:space="0"/>
              <w:right w:val="single" w:color="auto" w:sz="4" w:space="0"/>
            </w:tcBorders>
            <w:shd w:val="clear" w:color="auto" w:fill="auto"/>
            <w:vAlign w:val="center"/>
          </w:tcPr>
          <w:p w14:paraId="46805691">
            <w:pPr>
              <w:spacing w:line="276" w:lineRule="auto"/>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7</w:t>
            </w:r>
          </w:p>
        </w:tc>
        <w:tc>
          <w:tcPr>
            <w:tcW w:w="553" w:type="dxa"/>
            <w:tcBorders>
              <w:top w:val="single" w:color="auto" w:sz="4" w:space="0"/>
              <w:left w:val="single" w:color="auto" w:sz="4" w:space="0"/>
              <w:bottom w:val="single" w:color="auto" w:sz="4" w:space="0"/>
              <w:right w:val="single" w:color="auto" w:sz="4" w:space="0"/>
            </w:tcBorders>
            <w:vAlign w:val="center"/>
          </w:tcPr>
          <w:p w14:paraId="40791B9A">
            <w:pPr>
              <w:spacing w:line="276" w:lineRule="auto"/>
              <w:jc w:val="center"/>
              <w:rPr>
                <w:rFonts w:hint="eastAsia" w:ascii="仿宋" w:hAnsi="仿宋" w:eastAsia="仿宋" w:cs="仿宋"/>
                <w:color w:val="auto"/>
                <w:szCs w:val="21"/>
              </w:rPr>
            </w:pPr>
          </w:p>
        </w:tc>
        <w:tc>
          <w:tcPr>
            <w:tcW w:w="942" w:type="dxa"/>
            <w:tcBorders>
              <w:top w:val="single" w:color="auto" w:sz="4" w:space="0"/>
              <w:left w:val="single" w:color="auto" w:sz="4" w:space="0"/>
              <w:bottom w:val="single" w:color="auto" w:sz="4" w:space="0"/>
              <w:right w:val="single" w:color="auto" w:sz="4" w:space="0"/>
            </w:tcBorders>
            <w:vAlign w:val="center"/>
          </w:tcPr>
          <w:p w14:paraId="534793E1">
            <w:pPr>
              <w:spacing w:line="276" w:lineRule="auto"/>
              <w:rPr>
                <w:rFonts w:hint="eastAsia" w:ascii="仿宋" w:hAnsi="仿宋" w:eastAsia="仿宋" w:cs="仿宋"/>
                <w:color w:val="auto"/>
                <w:szCs w:val="21"/>
              </w:rPr>
            </w:pPr>
            <w:r>
              <w:rPr>
                <w:rFonts w:hint="eastAsia" w:ascii="仿宋" w:hAnsi="仿宋" w:eastAsia="仿宋" w:cs="仿宋"/>
                <w:color w:val="auto"/>
                <w:szCs w:val="21"/>
              </w:rPr>
              <w:t>单体一致性</w:t>
            </w:r>
          </w:p>
        </w:tc>
        <w:tc>
          <w:tcPr>
            <w:tcW w:w="5923" w:type="dxa"/>
            <w:tcBorders>
              <w:top w:val="single" w:color="auto" w:sz="4" w:space="0"/>
              <w:left w:val="single" w:color="auto" w:sz="4" w:space="0"/>
              <w:bottom w:val="single" w:color="auto" w:sz="4" w:space="0"/>
              <w:right w:val="single" w:color="auto" w:sz="4" w:space="0"/>
            </w:tcBorders>
            <w:vAlign w:val="center"/>
          </w:tcPr>
          <w:p w14:paraId="57DE3077">
            <w:pPr>
              <w:spacing w:line="276" w:lineRule="auto"/>
              <w:rPr>
                <w:rFonts w:hint="eastAsia" w:ascii="仿宋" w:hAnsi="仿宋" w:eastAsia="仿宋" w:cs="仿宋"/>
                <w:color w:val="auto"/>
                <w:szCs w:val="21"/>
              </w:rPr>
            </w:pPr>
            <w:r>
              <w:rPr>
                <w:rFonts w:hint="eastAsia" w:ascii="仿宋" w:hAnsi="仿宋" w:eastAsia="仿宋" w:cs="仿宋"/>
                <w:color w:val="auto"/>
                <w:szCs w:val="21"/>
              </w:rPr>
              <w:t>蓄电池放电时，各蓄电池间的端电压差值≤0.6V（12V）。</w:t>
            </w:r>
          </w:p>
        </w:tc>
        <w:tc>
          <w:tcPr>
            <w:tcW w:w="881" w:type="dxa"/>
            <w:tcBorders>
              <w:top w:val="single" w:color="auto" w:sz="4" w:space="0"/>
              <w:left w:val="single" w:color="auto" w:sz="4" w:space="0"/>
              <w:bottom w:val="single" w:color="auto" w:sz="4" w:space="0"/>
              <w:right w:val="single" w:color="auto" w:sz="4" w:space="0"/>
            </w:tcBorders>
            <w:vAlign w:val="center"/>
          </w:tcPr>
          <w:p w14:paraId="32F441EE">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否</w:t>
            </w:r>
          </w:p>
        </w:tc>
      </w:tr>
      <w:tr w14:paraId="5AEE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51" w:type="dxa"/>
            <w:tcBorders>
              <w:top w:val="single" w:color="auto" w:sz="4" w:space="0"/>
              <w:left w:val="single" w:color="auto" w:sz="4" w:space="0"/>
              <w:bottom w:val="single" w:color="auto" w:sz="4" w:space="0"/>
              <w:right w:val="single" w:color="auto" w:sz="4" w:space="0"/>
            </w:tcBorders>
            <w:shd w:val="clear" w:color="auto" w:fill="auto"/>
            <w:vAlign w:val="center"/>
          </w:tcPr>
          <w:p w14:paraId="565DCB05">
            <w:pPr>
              <w:spacing w:line="276" w:lineRule="auto"/>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8</w:t>
            </w:r>
          </w:p>
        </w:tc>
        <w:tc>
          <w:tcPr>
            <w:tcW w:w="553" w:type="dxa"/>
            <w:tcBorders>
              <w:top w:val="single" w:color="auto" w:sz="4" w:space="0"/>
              <w:left w:val="single" w:color="auto" w:sz="4" w:space="0"/>
              <w:bottom w:val="single" w:color="auto" w:sz="4" w:space="0"/>
              <w:right w:val="single" w:color="auto" w:sz="4" w:space="0"/>
            </w:tcBorders>
            <w:vAlign w:val="center"/>
          </w:tcPr>
          <w:p w14:paraId="5C4583B3">
            <w:pPr>
              <w:spacing w:line="276" w:lineRule="auto"/>
              <w:jc w:val="center"/>
              <w:rPr>
                <w:rFonts w:hint="eastAsia" w:ascii="仿宋" w:hAnsi="仿宋" w:eastAsia="仿宋" w:cs="仿宋"/>
                <w:color w:val="auto"/>
                <w:szCs w:val="21"/>
              </w:rPr>
            </w:pPr>
          </w:p>
        </w:tc>
        <w:tc>
          <w:tcPr>
            <w:tcW w:w="942" w:type="dxa"/>
            <w:tcBorders>
              <w:top w:val="single" w:color="auto" w:sz="4" w:space="0"/>
              <w:left w:val="single" w:color="auto" w:sz="4" w:space="0"/>
              <w:bottom w:val="single" w:color="auto" w:sz="4" w:space="0"/>
              <w:right w:val="single" w:color="auto" w:sz="4" w:space="0"/>
            </w:tcBorders>
            <w:vAlign w:val="center"/>
          </w:tcPr>
          <w:p w14:paraId="2E27F2E9">
            <w:pPr>
              <w:spacing w:line="276" w:lineRule="auto"/>
              <w:rPr>
                <w:rFonts w:hint="eastAsia" w:ascii="仿宋" w:hAnsi="仿宋" w:eastAsia="仿宋" w:cs="仿宋"/>
                <w:color w:val="auto"/>
                <w:szCs w:val="21"/>
              </w:rPr>
            </w:pPr>
            <w:r>
              <w:rPr>
                <w:rFonts w:hint="eastAsia" w:ascii="仿宋" w:hAnsi="仿宋" w:eastAsia="仿宋" w:cs="仿宋"/>
                <w:color w:val="auto"/>
                <w:szCs w:val="21"/>
              </w:rPr>
              <w:t>密封反应效率</w:t>
            </w:r>
          </w:p>
        </w:tc>
        <w:tc>
          <w:tcPr>
            <w:tcW w:w="5923" w:type="dxa"/>
            <w:tcBorders>
              <w:top w:val="single" w:color="auto" w:sz="4" w:space="0"/>
              <w:left w:val="single" w:color="auto" w:sz="4" w:space="0"/>
              <w:bottom w:val="single" w:color="auto" w:sz="4" w:space="0"/>
              <w:right w:val="single" w:color="auto" w:sz="4" w:space="0"/>
            </w:tcBorders>
            <w:vAlign w:val="center"/>
          </w:tcPr>
          <w:p w14:paraId="6CF83C34">
            <w:pPr>
              <w:spacing w:line="276" w:lineRule="auto"/>
              <w:rPr>
                <w:rFonts w:hint="eastAsia" w:ascii="仿宋" w:hAnsi="仿宋" w:eastAsia="仿宋" w:cs="仿宋"/>
                <w:color w:val="auto"/>
                <w:szCs w:val="21"/>
              </w:rPr>
            </w:pPr>
            <w:r>
              <w:rPr>
                <w:rFonts w:hint="eastAsia" w:ascii="仿宋" w:hAnsi="仿宋" w:eastAsia="仿宋" w:cs="仿宋"/>
                <w:color w:val="auto"/>
                <w:szCs w:val="21"/>
              </w:rPr>
              <w:t>蓄电池密封反应效率应不低于95%。</w:t>
            </w:r>
          </w:p>
        </w:tc>
        <w:tc>
          <w:tcPr>
            <w:tcW w:w="881" w:type="dxa"/>
            <w:tcBorders>
              <w:top w:val="single" w:color="auto" w:sz="4" w:space="0"/>
              <w:left w:val="single" w:color="auto" w:sz="4" w:space="0"/>
              <w:bottom w:val="single" w:color="auto" w:sz="4" w:space="0"/>
              <w:right w:val="single" w:color="auto" w:sz="4" w:space="0"/>
            </w:tcBorders>
            <w:vAlign w:val="center"/>
          </w:tcPr>
          <w:p w14:paraId="6847BB99">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否</w:t>
            </w:r>
          </w:p>
        </w:tc>
      </w:tr>
      <w:tr w14:paraId="7661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51" w:type="dxa"/>
            <w:tcBorders>
              <w:top w:val="single" w:color="auto" w:sz="4" w:space="0"/>
              <w:left w:val="single" w:color="auto" w:sz="4" w:space="0"/>
              <w:bottom w:val="single" w:color="auto" w:sz="4" w:space="0"/>
              <w:right w:val="single" w:color="auto" w:sz="4" w:space="0"/>
            </w:tcBorders>
            <w:shd w:val="clear" w:color="auto" w:fill="auto"/>
            <w:vAlign w:val="center"/>
          </w:tcPr>
          <w:p w14:paraId="004EFF75">
            <w:pPr>
              <w:spacing w:line="276" w:lineRule="auto"/>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9</w:t>
            </w:r>
          </w:p>
        </w:tc>
        <w:tc>
          <w:tcPr>
            <w:tcW w:w="553" w:type="dxa"/>
            <w:tcBorders>
              <w:top w:val="single" w:color="auto" w:sz="4" w:space="0"/>
              <w:left w:val="single" w:color="auto" w:sz="4" w:space="0"/>
              <w:bottom w:val="single" w:color="auto" w:sz="4" w:space="0"/>
              <w:right w:val="single" w:color="auto" w:sz="4" w:space="0"/>
            </w:tcBorders>
            <w:vAlign w:val="center"/>
          </w:tcPr>
          <w:p w14:paraId="3C2CDF19">
            <w:pPr>
              <w:spacing w:line="276" w:lineRule="auto"/>
              <w:jc w:val="center"/>
              <w:rPr>
                <w:rFonts w:hint="eastAsia" w:ascii="仿宋" w:hAnsi="仿宋" w:eastAsia="仿宋" w:cs="仿宋"/>
                <w:color w:val="auto"/>
                <w:szCs w:val="21"/>
              </w:rPr>
            </w:pPr>
          </w:p>
        </w:tc>
        <w:tc>
          <w:tcPr>
            <w:tcW w:w="942" w:type="dxa"/>
            <w:tcBorders>
              <w:top w:val="single" w:color="auto" w:sz="4" w:space="0"/>
              <w:left w:val="single" w:color="auto" w:sz="4" w:space="0"/>
              <w:bottom w:val="single" w:color="auto" w:sz="4" w:space="0"/>
              <w:right w:val="single" w:color="auto" w:sz="4" w:space="0"/>
            </w:tcBorders>
            <w:vAlign w:val="center"/>
          </w:tcPr>
          <w:p w14:paraId="6331DAF5">
            <w:pPr>
              <w:spacing w:line="276" w:lineRule="auto"/>
              <w:rPr>
                <w:rFonts w:hint="eastAsia" w:ascii="仿宋" w:hAnsi="仿宋" w:eastAsia="仿宋" w:cs="仿宋"/>
                <w:color w:val="auto"/>
                <w:szCs w:val="21"/>
              </w:rPr>
            </w:pPr>
            <w:r>
              <w:rPr>
                <w:rFonts w:hint="eastAsia" w:ascii="仿宋" w:hAnsi="仿宋" w:eastAsia="仿宋" w:cs="仿宋"/>
                <w:color w:val="auto"/>
                <w:szCs w:val="21"/>
              </w:rPr>
              <w:t>开阀/闭阀压力</w:t>
            </w:r>
          </w:p>
        </w:tc>
        <w:tc>
          <w:tcPr>
            <w:tcW w:w="5923" w:type="dxa"/>
            <w:tcBorders>
              <w:top w:val="single" w:color="auto" w:sz="4" w:space="0"/>
              <w:left w:val="single" w:color="auto" w:sz="4" w:space="0"/>
              <w:bottom w:val="single" w:color="auto" w:sz="4" w:space="0"/>
              <w:right w:val="single" w:color="auto" w:sz="4" w:space="0"/>
            </w:tcBorders>
            <w:vAlign w:val="center"/>
          </w:tcPr>
          <w:p w14:paraId="063BF72D">
            <w:pPr>
              <w:spacing w:line="276" w:lineRule="auto"/>
              <w:rPr>
                <w:rFonts w:hint="eastAsia" w:ascii="仿宋" w:hAnsi="仿宋" w:eastAsia="仿宋" w:cs="仿宋"/>
                <w:color w:val="auto"/>
                <w:szCs w:val="21"/>
              </w:rPr>
            </w:pPr>
            <w:r>
              <w:rPr>
                <w:rFonts w:hint="eastAsia" w:ascii="仿宋" w:hAnsi="仿宋" w:eastAsia="仿宋" w:cs="仿宋"/>
                <w:color w:val="auto"/>
                <w:szCs w:val="21"/>
              </w:rPr>
              <w:t>蓄电池安全阀开阀压力范围：10～35kPa，闭阀压力范围：3～30kPa。</w:t>
            </w:r>
          </w:p>
        </w:tc>
        <w:tc>
          <w:tcPr>
            <w:tcW w:w="881" w:type="dxa"/>
            <w:tcBorders>
              <w:top w:val="single" w:color="auto" w:sz="4" w:space="0"/>
              <w:left w:val="single" w:color="auto" w:sz="4" w:space="0"/>
              <w:bottom w:val="single" w:color="auto" w:sz="4" w:space="0"/>
              <w:right w:val="single" w:color="auto" w:sz="4" w:space="0"/>
            </w:tcBorders>
            <w:vAlign w:val="center"/>
          </w:tcPr>
          <w:p w14:paraId="7DEDB408">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否</w:t>
            </w:r>
          </w:p>
        </w:tc>
      </w:tr>
      <w:tr w14:paraId="3936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51" w:type="dxa"/>
            <w:tcBorders>
              <w:top w:val="single" w:color="auto" w:sz="4" w:space="0"/>
              <w:left w:val="single" w:color="auto" w:sz="4" w:space="0"/>
              <w:bottom w:val="single" w:color="auto" w:sz="4" w:space="0"/>
              <w:right w:val="single" w:color="auto" w:sz="4" w:space="0"/>
            </w:tcBorders>
            <w:shd w:val="clear" w:color="auto" w:fill="auto"/>
            <w:vAlign w:val="center"/>
          </w:tcPr>
          <w:p w14:paraId="4D87E571">
            <w:pPr>
              <w:spacing w:line="276" w:lineRule="auto"/>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10</w:t>
            </w:r>
          </w:p>
        </w:tc>
        <w:tc>
          <w:tcPr>
            <w:tcW w:w="553" w:type="dxa"/>
            <w:tcBorders>
              <w:top w:val="single" w:color="auto" w:sz="4" w:space="0"/>
              <w:left w:val="single" w:color="auto" w:sz="4" w:space="0"/>
              <w:bottom w:val="single" w:color="auto" w:sz="4" w:space="0"/>
              <w:right w:val="single" w:color="auto" w:sz="4" w:space="0"/>
            </w:tcBorders>
            <w:vAlign w:val="center"/>
          </w:tcPr>
          <w:p w14:paraId="721C5D30">
            <w:pPr>
              <w:spacing w:line="276" w:lineRule="auto"/>
              <w:jc w:val="center"/>
              <w:rPr>
                <w:rFonts w:hint="eastAsia" w:ascii="仿宋" w:hAnsi="仿宋" w:eastAsia="仿宋" w:cs="仿宋"/>
                <w:color w:val="auto"/>
                <w:szCs w:val="21"/>
              </w:rPr>
            </w:pPr>
          </w:p>
        </w:tc>
        <w:tc>
          <w:tcPr>
            <w:tcW w:w="942" w:type="dxa"/>
            <w:tcBorders>
              <w:top w:val="single" w:color="auto" w:sz="4" w:space="0"/>
              <w:left w:val="single" w:color="auto" w:sz="4" w:space="0"/>
              <w:bottom w:val="single" w:color="auto" w:sz="4" w:space="0"/>
              <w:right w:val="single" w:color="auto" w:sz="4" w:space="0"/>
            </w:tcBorders>
            <w:vAlign w:val="center"/>
          </w:tcPr>
          <w:p w14:paraId="6150CC56">
            <w:pPr>
              <w:spacing w:line="276" w:lineRule="auto"/>
              <w:rPr>
                <w:rFonts w:hint="eastAsia" w:ascii="仿宋" w:hAnsi="仿宋" w:eastAsia="仿宋" w:cs="仿宋"/>
                <w:color w:val="auto"/>
                <w:szCs w:val="21"/>
              </w:rPr>
            </w:pPr>
            <w:r>
              <w:rPr>
                <w:rFonts w:hint="eastAsia" w:ascii="仿宋" w:hAnsi="仿宋" w:eastAsia="仿宋" w:cs="仿宋"/>
                <w:color w:val="auto"/>
                <w:szCs w:val="21"/>
              </w:rPr>
              <w:t>大电流放电</w:t>
            </w:r>
          </w:p>
        </w:tc>
        <w:tc>
          <w:tcPr>
            <w:tcW w:w="5923" w:type="dxa"/>
            <w:tcBorders>
              <w:top w:val="single" w:color="auto" w:sz="4" w:space="0"/>
              <w:left w:val="single" w:color="auto" w:sz="4" w:space="0"/>
              <w:bottom w:val="single" w:color="auto" w:sz="4" w:space="0"/>
              <w:right w:val="single" w:color="auto" w:sz="4" w:space="0"/>
            </w:tcBorders>
            <w:vAlign w:val="center"/>
          </w:tcPr>
          <w:p w14:paraId="5698F2CC">
            <w:pPr>
              <w:spacing w:line="276" w:lineRule="auto"/>
              <w:rPr>
                <w:rFonts w:hint="eastAsia" w:ascii="仿宋" w:hAnsi="仿宋" w:eastAsia="仿宋" w:cs="仿宋"/>
                <w:color w:val="auto"/>
                <w:szCs w:val="21"/>
              </w:rPr>
            </w:pPr>
            <w:r>
              <w:rPr>
                <w:rFonts w:hint="eastAsia" w:ascii="仿宋" w:hAnsi="仿宋" w:eastAsia="仿宋" w:cs="仿宋"/>
                <w:color w:val="auto"/>
                <w:szCs w:val="21"/>
              </w:rPr>
              <w:t>蓄电池以30I10（A）放电3min，极柱、内部汇流排不应熔断，其外观不得出现异常。</w:t>
            </w:r>
          </w:p>
        </w:tc>
        <w:tc>
          <w:tcPr>
            <w:tcW w:w="881" w:type="dxa"/>
            <w:tcBorders>
              <w:top w:val="single" w:color="auto" w:sz="4" w:space="0"/>
              <w:left w:val="single" w:color="auto" w:sz="4" w:space="0"/>
              <w:bottom w:val="single" w:color="auto" w:sz="4" w:space="0"/>
              <w:right w:val="single" w:color="auto" w:sz="4" w:space="0"/>
            </w:tcBorders>
            <w:vAlign w:val="center"/>
          </w:tcPr>
          <w:p w14:paraId="384EAF17">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否</w:t>
            </w:r>
          </w:p>
        </w:tc>
      </w:tr>
      <w:tr w14:paraId="1324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51" w:type="dxa"/>
            <w:tcBorders>
              <w:top w:val="single" w:color="auto" w:sz="4" w:space="0"/>
              <w:left w:val="single" w:color="auto" w:sz="4" w:space="0"/>
              <w:bottom w:val="single" w:color="auto" w:sz="4" w:space="0"/>
              <w:right w:val="single" w:color="auto" w:sz="4" w:space="0"/>
            </w:tcBorders>
            <w:shd w:val="clear" w:color="auto" w:fill="auto"/>
            <w:vAlign w:val="center"/>
          </w:tcPr>
          <w:p w14:paraId="696F9486">
            <w:pPr>
              <w:spacing w:line="276" w:lineRule="auto"/>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11</w:t>
            </w:r>
          </w:p>
        </w:tc>
        <w:tc>
          <w:tcPr>
            <w:tcW w:w="553" w:type="dxa"/>
            <w:tcBorders>
              <w:top w:val="single" w:color="auto" w:sz="4" w:space="0"/>
              <w:left w:val="single" w:color="auto" w:sz="4" w:space="0"/>
              <w:bottom w:val="single" w:color="auto" w:sz="4" w:space="0"/>
              <w:right w:val="single" w:color="auto" w:sz="4" w:space="0"/>
            </w:tcBorders>
            <w:vAlign w:val="center"/>
          </w:tcPr>
          <w:p w14:paraId="0C0A001E">
            <w:pPr>
              <w:spacing w:line="276" w:lineRule="auto"/>
              <w:jc w:val="center"/>
              <w:rPr>
                <w:rFonts w:hint="eastAsia" w:ascii="仿宋" w:hAnsi="仿宋" w:eastAsia="仿宋" w:cs="仿宋"/>
                <w:color w:val="auto"/>
                <w:szCs w:val="21"/>
              </w:rPr>
            </w:pPr>
          </w:p>
        </w:tc>
        <w:tc>
          <w:tcPr>
            <w:tcW w:w="942" w:type="dxa"/>
            <w:tcBorders>
              <w:top w:val="single" w:color="auto" w:sz="4" w:space="0"/>
              <w:left w:val="single" w:color="auto" w:sz="4" w:space="0"/>
              <w:bottom w:val="single" w:color="auto" w:sz="4" w:space="0"/>
              <w:right w:val="single" w:color="auto" w:sz="4" w:space="0"/>
            </w:tcBorders>
            <w:vAlign w:val="center"/>
          </w:tcPr>
          <w:p w14:paraId="0A0F41D6">
            <w:pPr>
              <w:spacing w:line="276" w:lineRule="auto"/>
              <w:rPr>
                <w:rFonts w:hint="eastAsia" w:ascii="仿宋" w:hAnsi="仿宋" w:eastAsia="仿宋" w:cs="仿宋"/>
                <w:color w:val="auto"/>
                <w:szCs w:val="21"/>
              </w:rPr>
            </w:pPr>
            <w:r>
              <w:rPr>
                <w:rFonts w:hint="eastAsia" w:ascii="仿宋" w:hAnsi="仿宋" w:eastAsia="仿宋" w:cs="仿宋"/>
                <w:color w:val="auto"/>
                <w:szCs w:val="21"/>
              </w:rPr>
              <w:t>气密性</w:t>
            </w:r>
          </w:p>
        </w:tc>
        <w:tc>
          <w:tcPr>
            <w:tcW w:w="5923" w:type="dxa"/>
            <w:tcBorders>
              <w:top w:val="single" w:color="auto" w:sz="4" w:space="0"/>
              <w:left w:val="single" w:color="auto" w:sz="4" w:space="0"/>
              <w:bottom w:val="single" w:color="auto" w:sz="4" w:space="0"/>
              <w:right w:val="single" w:color="auto" w:sz="4" w:space="0"/>
            </w:tcBorders>
            <w:vAlign w:val="center"/>
          </w:tcPr>
          <w:p w14:paraId="74FAD63E">
            <w:pPr>
              <w:spacing w:line="276" w:lineRule="auto"/>
              <w:rPr>
                <w:rFonts w:hint="eastAsia" w:ascii="仿宋" w:hAnsi="仿宋" w:eastAsia="仿宋" w:cs="仿宋"/>
                <w:color w:val="auto"/>
                <w:szCs w:val="21"/>
              </w:rPr>
            </w:pPr>
            <w:r>
              <w:rPr>
                <w:rFonts w:hint="eastAsia" w:ascii="仿宋" w:hAnsi="仿宋" w:eastAsia="仿宋" w:cs="仿宋"/>
                <w:color w:val="auto"/>
                <w:szCs w:val="21"/>
              </w:rPr>
              <w:t>蓄电池应能承受50kPa的正压或负压而不破裂、不开胶，压力释放后壳体无残余变形。</w:t>
            </w:r>
          </w:p>
        </w:tc>
        <w:tc>
          <w:tcPr>
            <w:tcW w:w="881" w:type="dxa"/>
            <w:tcBorders>
              <w:top w:val="single" w:color="auto" w:sz="4" w:space="0"/>
              <w:left w:val="single" w:color="auto" w:sz="4" w:space="0"/>
              <w:bottom w:val="single" w:color="auto" w:sz="4" w:space="0"/>
              <w:right w:val="single" w:color="auto" w:sz="4" w:space="0"/>
            </w:tcBorders>
            <w:vAlign w:val="center"/>
          </w:tcPr>
          <w:p w14:paraId="30FB5E17">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否</w:t>
            </w:r>
          </w:p>
        </w:tc>
      </w:tr>
      <w:tr w14:paraId="6FAB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451" w:type="dxa"/>
            <w:tcBorders>
              <w:top w:val="single" w:color="auto" w:sz="4" w:space="0"/>
              <w:left w:val="single" w:color="auto" w:sz="4" w:space="0"/>
              <w:bottom w:val="single" w:color="auto" w:sz="4" w:space="0"/>
              <w:right w:val="single" w:color="auto" w:sz="4" w:space="0"/>
            </w:tcBorders>
            <w:shd w:val="clear" w:color="auto" w:fill="auto"/>
            <w:vAlign w:val="center"/>
          </w:tcPr>
          <w:p w14:paraId="023DF819">
            <w:pPr>
              <w:spacing w:line="276" w:lineRule="auto"/>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lang w:val="en-US" w:eastAsia="zh-CN"/>
              </w:rPr>
              <w:t>12</w:t>
            </w:r>
          </w:p>
        </w:tc>
        <w:tc>
          <w:tcPr>
            <w:tcW w:w="553" w:type="dxa"/>
            <w:tcBorders>
              <w:top w:val="single" w:color="auto" w:sz="4" w:space="0"/>
              <w:left w:val="single" w:color="auto" w:sz="4" w:space="0"/>
              <w:bottom w:val="single" w:color="auto" w:sz="4" w:space="0"/>
              <w:right w:val="single" w:color="auto" w:sz="4" w:space="0"/>
            </w:tcBorders>
            <w:vAlign w:val="center"/>
          </w:tcPr>
          <w:p w14:paraId="5AF48421">
            <w:pPr>
              <w:spacing w:line="276" w:lineRule="auto"/>
              <w:jc w:val="center"/>
              <w:rPr>
                <w:rFonts w:hint="eastAsia" w:ascii="仿宋" w:hAnsi="仿宋" w:eastAsia="仿宋" w:cs="仿宋"/>
                <w:color w:val="auto"/>
                <w:szCs w:val="21"/>
              </w:rPr>
            </w:pPr>
          </w:p>
        </w:tc>
        <w:tc>
          <w:tcPr>
            <w:tcW w:w="942" w:type="dxa"/>
            <w:tcBorders>
              <w:top w:val="single" w:color="auto" w:sz="4" w:space="0"/>
              <w:left w:val="single" w:color="auto" w:sz="4" w:space="0"/>
              <w:bottom w:val="single" w:color="auto" w:sz="4" w:space="0"/>
              <w:right w:val="single" w:color="auto" w:sz="4" w:space="0"/>
            </w:tcBorders>
            <w:vAlign w:val="center"/>
          </w:tcPr>
          <w:p w14:paraId="0FCBEA86">
            <w:pPr>
              <w:spacing w:line="276" w:lineRule="auto"/>
              <w:rPr>
                <w:rFonts w:hint="eastAsia" w:ascii="仿宋" w:hAnsi="仿宋" w:eastAsia="仿宋" w:cs="仿宋"/>
                <w:color w:val="auto"/>
                <w:szCs w:val="21"/>
              </w:rPr>
            </w:pPr>
            <w:r>
              <w:rPr>
                <w:rFonts w:hint="eastAsia" w:ascii="仿宋" w:hAnsi="仿宋" w:eastAsia="仿宋" w:cs="仿宋"/>
                <w:color w:val="auto"/>
                <w:szCs w:val="21"/>
              </w:rPr>
              <w:t>壳盖材料</w:t>
            </w:r>
          </w:p>
        </w:tc>
        <w:tc>
          <w:tcPr>
            <w:tcW w:w="5923" w:type="dxa"/>
            <w:tcBorders>
              <w:top w:val="single" w:color="auto" w:sz="4" w:space="0"/>
              <w:left w:val="single" w:color="auto" w:sz="4" w:space="0"/>
              <w:bottom w:val="single" w:color="auto" w:sz="4" w:space="0"/>
              <w:right w:val="single" w:color="auto" w:sz="4" w:space="0"/>
            </w:tcBorders>
            <w:vAlign w:val="center"/>
          </w:tcPr>
          <w:p w14:paraId="02D92D3D">
            <w:pPr>
              <w:spacing w:line="276" w:lineRule="auto"/>
              <w:rPr>
                <w:rFonts w:hint="eastAsia" w:ascii="仿宋" w:hAnsi="仿宋" w:eastAsia="仿宋" w:cs="仿宋"/>
                <w:color w:val="auto"/>
                <w:szCs w:val="21"/>
              </w:rPr>
            </w:pPr>
            <w:r>
              <w:rPr>
                <w:rFonts w:hint="eastAsia" w:ascii="仿宋" w:hAnsi="仿宋" w:eastAsia="仿宋" w:cs="仿宋"/>
                <w:color w:val="auto"/>
                <w:szCs w:val="21"/>
              </w:rPr>
              <w:t>要求使用ABS。</w:t>
            </w:r>
          </w:p>
        </w:tc>
        <w:tc>
          <w:tcPr>
            <w:tcW w:w="881" w:type="dxa"/>
            <w:tcBorders>
              <w:top w:val="single" w:color="auto" w:sz="4" w:space="0"/>
              <w:left w:val="single" w:color="auto" w:sz="4" w:space="0"/>
              <w:bottom w:val="single" w:color="auto" w:sz="4" w:space="0"/>
              <w:right w:val="single" w:color="auto" w:sz="4" w:space="0"/>
            </w:tcBorders>
            <w:vAlign w:val="center"/>
          </w:tcPr>
          <w:p w14:paraId="49CF2472">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lang w:val="en-US" w:eastAsia="zh-CN"/>
              </w:rPr>
              <w:t>否</w:t>
            </w:r>
          </w:p>
        </w:tc>
      </w:tr>
    </w:tbl>
    <w:p w14:paraId="53518B77">
      <w:pPr>
        <w:pStyle w:val="6"/>
        <w:rPr>
          <w:rStyle w:val="52"/>
          <w:rFonts w:hint="eastAsia" w:ascii="仿宋" w:hAnsi="仿宋" w:eastAsia="仿宋" w:cs="仿宋"/>
          <w:b/>
          <w:bCs/>
          <w:color w:val="auto"/>
          <w:sz w:val="24"/>
          <w:szCs w:val="24"/>
          <w:lang w:val="en-US" w:eastAsia="zh-CN"/>
        </w:rPr>
      </w:pPr>
    </w:p>
    <w:p w14:paraId="7A0B4100">
      <w:pPr>
        <w:pStyle w:val="6"/>
        <w:rPr>
          <w:rFonts w:hint="eastAsia" w:ascii="仿宋" w:hAnsi="仿宋" w:eastAsia="仿宋" w:cs="仿宋"/>
          <w:color w:val="auto"/>
          <w:kern w:val="0"/>
          <w:sz w:val="24"/>
          <w:lang w:eastAsia="zh-CN"/>
        </w:rPr>
      </w:pPr>
      <w:r>
        <w:rPr>
          <w:rStyle w:val="52"/>
          <w:rFonts w:hint="eastAsia" w:ascii="仿宋" w:hAnsi="仿宋" w:eastAsia="仿宋" w:cs="仿宋"/>
          <w:b/>
          <w:bCs/>
          <w:color w:val="auto"/>
          <w:sz w:val="24"/>
          <w:szCs w:val="24"/>
          <w:lang w:val="en-US" w:eastAsia="zh-CN"/>
        </w:rPr>
        <w:t xml:space="preserve">1.2.11 </w:t>
      </w:r>
      <w:r>
        <w:rPr>
          <w:rFonts w:hint="eastAsia" w:ascii="仿宋" w:hAnsi="仿宋" w:eastAsia="仿宋" w:cs="仿宋"/>
          <w:i w:val="0"/>
          <w:iCs w:val="0"/>
          <w:color w:val="auto"/>
          <w:kern w:val="0"/>
          <w:sz w:val="24"/>
          <w:szCs w:val="24"/>
          <w:u w:val="none"/>
          <w:lang w:val="en-US" w:eastAsia="zh-CN" w:bidi="ar"/>
        </w:rPr>
        <w:t>蓄电池组架2</w:t>
      </w:r>
    </w:p>
    <w:tbl>
      <w:tblPr>
        <w:tblStyle w:val="43"/>
        <w:tblW w:w="8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930"/>
        <w:gridCol w:w="1173"/>
        <w:gridCol w:w="4701"/>
        <w:gridCol w:w="1033"/>
      </w:tblGrid>
      <w:tr w14:paraId="760CE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55" w:type="dxa"/>
            <w:tcBorders>
              <w:top w:val="single" w:color="auto" w:sz="4" w:space="0"/>
              <w:left w:val="single" w:color="auto" w:sz="4" w:space="0"/>
              <w:bottom w:val="single" w:color="auto" w:sz="4" w:space="0"/>
              <w:right w:val="single" w:color="auto" w:sz="4" w:space="0"/>
            </w:tcBorders>
            <w:vAlign w:val="center"/>
          </w:tcPr>
          <w:p w14:paraId="52ADB913">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rPr>
              <w:t>序号</w:t>
            </w:r>
          </w:p>
        </w:tc>
        <w:tc>
          <w:tcPr>
            <w:tcW w:w="930" w:type="dxa"/>
            <w:tcBorders>
              <w:top w:val="single" w:color="auto" w:sz="4" w:space="0"/>
              <w:left w:val="single" w:color="auto" w:sz="4" w:space="0"/>
              <w:bottom w:val="single" w:color="auto" w:sz="4" w:space="0"/>
              <w:right w:val="single" w:color="auto" w:sz="4" w:space="0"/>
            </w:tcBorders>
            <w:vAlign w:val="center"/>
          </w:tcPr>
          <w:p w14:paraId="260328EA">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rPr>
              <w:t>重要性</w:t>
            </w:r>
          </w:p>
        </w:tc>
        <w:tc>
          <w:tcPr>
            <w:tcW w:w="1173" w:type="dxa"/>
            <w:tcBorders>
              <w:top w:val="single" w:color="auto" w:sz="4" w:space="0"/>
              <w:left w:val="single" w:color="auto" w:sz="4" w:space="0"/>
              <w:bottom w:val="single" w:color="auto" w:sz="4" w:space="0"/>
              <w:right w:val="single" w:color="auto" w:sz="4" w:space="0"/>
            </w:tcBorders>
            <w:vAlign w:val="center"/>
          </w:tcPr>
          <w:p w14:paraId="44B98931">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rPr>
              <w:t>指标项</w:t>
            </w:r>
          </w:p>
        </w:tc>
        <w:tc>
          <w:tcPr>
            <w:tcW w:w="4701" w:type="dxa"/>
            <w:tcBorders>
              <w:top w:val="single" w:color="auto" w:sz="4" w:space="0"/>
              <w:left w:val="single" w:color="auto" w:sz="4" w:space="0"/>
              <w:bottom w:val="single" w:color="auto" w:sz="4" w:space="0"/>
              <w:right w:val="single" w:color="auto" w:sz="4" w:space="0"/>
            </w:tcBorders>
            <w:vAlign w:val="center"/>
          </w:tcPr>
          <w:p w14:paraId="5D2F197B">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rPr>
              <w:t>指标要求</w:t>
            </w:r>
          </w:p>
        </w:tc>
        <w:tc>
          <w:tcPr>
            <w:tcW w:w="1033" w:type="dxa"/>
            <w:tcBorders>
              <w:top w:val="single" w:color="auto" w:sz="4" w:space="0"/>
              <w:left w:val="single" w:color="auto" w:sz="4" w:space="0"/>
              <w:bottom w:val="single" w:color="auto" w:sz="4" w:space="0"/>
              <w:right w:val="single" w:color="auto" w:sz="4" w:space="0"/>
            </w:tcBorders>
            <w:vAlign w:val="center"/>
          </w:tcPr>
          <w:p w14:paraId="68B9CAD8">
            <w:pPr>
              <w:tabs>
                <w:tab w:val="left" w:pos="1680"/>
              </w:tabs>
              <w:spacing w:line="276" w:lineRule="auto"/>
              <w:jc w:val="center"/>
              <w:rPr>
                <w:rFonts w:hint="eastAsia" w:ascii="仿宋" w:hAnsi="仿宋" w:eastAsia="仿宋" w:cs="仿宋"/>
                <w:color w:val="auto"/>
                <w:szCs w:val="21"/>
              </w:rPr>
            </w:pPr>
            <w:r>
              <w:rPr>
                <w:rFonts w:hint="eastAsia" w:ascii="仿宋" w:hAnsi="仿宋" w:eastAsia="仿宋" w:cs="仿宋"/>
                <w:b/>
                <w:bCs/>
                <w:i w:val="0"/>
                <w:iCs w:val="0"/>
                <w:color w:val="auto"/>
                <w:kern w:val="0"/>
                <w:sz w:val="20"/>
                <w:szCs w:val="20"/>
                <w:u w:val="none"/>
                <w:lang w:val="en-US" w:eastAsia="zh-CN" w:bidi="ar"/>
              </w:rPr>
              <w:t>证明材料要求</w:t>
            </w:r>
          </w:p>
        </w:tc>
      </w:tr>
      <w:tr w14:paraId="2E121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55" w:type="dxa"/>
            <w:tcBorders>
              <w:top w:val="single" w:color="auto" w:sz="4" w:space="0"/>
              <w:left w:val="single" w:color="auto" w:sz="4" w:space="0"/>
              <w:bottom w:val="single" w:color="auto" w:sz="4" w:space="0"/>
              <w:right w:val="single" w:color="auto" w:sz="4" w:space="0"/>
            </w:tcBorders>
            <w:vAlign w:val="center"/>
          </w:tcPr>
          <w:p w14:paraId="3E9F4EC8">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rPr>
              <w:t>1</w:t>
            </w:r>
          </w:p>
        </w:tc>
        <w:tc>
          <w:tcPr>
            <w:tcW w:w="930" w:type="dxa"/>
            <w:tcBorders>
              <w:top w:val="single" w:color="auto" w:sz="4" w:space="0"/>
              <w:left w:val="single" w:color="auto" w:sz="4" w:space="0"/>
              <w:bottom w:val="single" w:color="auto" w:sz="4" w:space="0"/>
              <w:right w:val="single" w:color="auto" w:sz="4" w:space="0"/>
            </w:tcBorders>
            <w:vAlign w:val="center"/>
          </w:tcPr>
          <w:p w14:paraId="40E4FD22">
            <w:pPr>
              <w:spacing w:line="276" w:lineRule="auto"/>
              <w:jc w:val="center"/>
              <w:rPr>
                <w:rFonts w:hint="eastAsia" w:ascii="仿宋" w:hAnsi="仿宋" w:eastAsia="仿宋" w:cs="仿宋"/>
                <w:color w:val="auto"/>
                <w:szCs w:val="21"/>
              </w:rPr>
            </w:pPr>
          </w:p>
        </w:tc>
        <w:tc>
          <w:tcPr>
            <w:tcW w:w="1173" w:type="dxa"/>
            <w:tcBorders>
              <w:top w:val="single" w:color="auto" w:sz="4" w:space="0"/>
              <w:left w:val="single" w:color="auto" w:sz="4" w:space="0"/>
              <w:bottom w:val="single" w:color="auto" w:sz="4" w:space="0"/>
              <w:right w:val="single" w:color="auto" w:sz="4" w:space="0"/>
            </w:tcBorders>
            <w:vAlign w:val="center"/>
          </w:tcPr>
          <w:p w14:paraId="6BE8B839">
            <w:pPr>
              <w:spacing w:line="276" w:lineRule="auto"/>
              <w:rPr>
                <w:rFonts w:hint="eastAsia" w:ascii="仿宋" w:hAnsi="仿宋" w:eastAsia="仿宋" w:cs="仿宋"/>
                <w:color w:val="auto"/>
                <w:szCs w:val="21"/>
              </w:rPr>
            </w:pPr>
            <w:r>
              <w:rPr>
                <w:rFonts w:hint="eastAsia" w:ascii="仿宋" w:hAnsi="仿宋" w:eastAsia="仿宋" w:cs="仿宋"/>
                <w:color w:val="auto"/>
              </w:rPr>
              <w:t>尺寸</w:t>
            </w:r>
          </w:p>
        </w:tc>
        <w:tc>
          <w:tcPr>
            <w:tcW w:w="4701" w:type="dxa"/>
            <w:tcBorders>
              <w:top w:val="single" w:color="auto" w:sz="4" w:space="0"/>
              <w:left w:val="single" w:color="auto" w:sz="4" w:space="0"/>
              <w:bottom w:val="single" w:color="auto" w:sz="4" w:space="0"/>
              <w:right w:val="single" w:color="auto" w:sz="4" w:space="0"/>
            </w:tcBorders>
            <w:shd w:val="clear" w:color="auto" w:fill="auto"/>
            <w:vAlign w:val="center"/>
          </w:tcPr>
          <w:p w14:paraId="11C06266">
            <w:pPr>
              <w:spacing w:line="276" w:lineRule="auto"/>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rPr>
              <w:t>30-48 节电池/个，主体材质采用 6 号槽钢，可承重 1300KG；</w:t>
            </w:r>
          </w:p>
        </w:tc>
        <w:tc>
          <w:tcPr>
            <w:tcW w:w="1033" w:type="dxa"/>
            <w:tcBorders>
              <w:top w:val="single" w:color="auto" w:sz="4" w:space="0"/>
              <w:left w:val="single" w:color="auto" w:sz="4" w:space="0"/>
              <w:bottom w:val="single" w:color="auto" w:sz="4" w:space="0"/>
              <w:right w:val="single" w:color="auto" w:sz="4" w:space="0"/>
            </w:tcBorders>
            <w:shd w:val="clear" w:color="auto" w:fill="auto"/>
            <w:vAlign w:val="center"/>
          </w:tcPr>
          <w:p w14:paraId="03D2C377">
            <w:pPr>
              <w:spacing w:line="276" w:lineRule="auto"/>
              <w:jc w:val="center"/>
              <w:rPr>
                <w:rFonts w:hint="eastAsia" w:ascii="仿宋" w:hAnsi="仿宋" w:eastAsia="仿宋" w:cs="仿宋"/>
                <w:color w:val="auto"/>
              </w:rPr>
            </w:pPr>
            <w:r>
              <w:rPr>
                <w:rFonts w:hint="eastAsia" w:ascii="仿宋" w:hAnsi="仿宋" w:eastAsia="仿宋" w:cs="仿宋"/>
                <w:i w:val="0"/>
                <w:iCs w:val="0"/>
                <w:color w:val="auto"/>
                <w:kern w:val="0"/>
                <w:sz w:val="20"/>
                <w:szCs w:val="20"/>
                <w:u w:val="none"/>
                <w:lang w:val="en-US" w:eastAsia="zh-CN" w:bidi="ar"/>
              </w:rPr>
              <w:t>否</w:t>
            </w:r>
          </w:p>
        </w:tc>
      </w:tr>
      <w:tr w14:paraId="6FB3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855" w:type="dxa"/>
            <w:tcBorders>
              <w:top w:val="single" w:color="auto" w:sz="4" w:space="0"/>
              <w:left w:val="single" w:color="auto" w:sz="4" w:space="0"/>
              <w:bottom w:val="single" w:color="auto" w:sz="4" w:space="0"/>
              <w:right w:val="single" w:color="auto" w:sz="4" w:space="0"/>
            </w:tcBorders>
            <w:vAlign w:val="center"/>
          </w:tcPr>
          <w:p w14:paraId="2807EDFB">
            <w:pPr>
              <w:spacing w:line="276" w:lineRule="auto"/>
              <w:jc w:val="center"/>
              <w:rPr>
                <w:rFonts w:hint="eastAsia" w:ascii="仿宋" w:hAnsi="仿宋" w:eastAsia="仿宋" w:cs="仿宋"/>
                <w:color w:val="auto"/>
                <w:szCs w:val="21"/>
              </w:rPr>
            </w:pPr>
            <w:r>
              <w:rPr>
                <w:rFonts w:hint="eastAsia" w:ascii="仿宋" w:hAnsi="仿宋" w:eastAsia="仿宋" w:cs="仿宋"/>
                <w:color w:val="auto"/>
                <w:szCs w:val="21"/>
              </w:rPr>
              <w:t>2</w:t>
            </w:r>
          </w:p>
        </w:tc>
        <w:tc>
          <w:tcPr>
            <w:tcW w:w="930" w:type="dxa"/>
            <w:tcBorders>
              <w:top w:val="single" w:color="auto" w:sz="4" w:space="0"/>
              <w:left w:val="single" w:color="auto" w:sz="4" w:space="0"/>
              <w:bottom w:val="single" w:color="auto" w:sz="4" w:space="0"/>
              <w:right w:val="single" w:color="auto" w:sz="4" w:space="0"/>
            </w:tcBorders>
            <w:vAlign w:val="center"/>
          </w:tcPr>
          <w:p w14:paraId="028B5FB8">
            <w:pPr>
              <w:spacing w:line="276" w:lineRule="auto"/>
              <w:jc w:val="center"/>
              <w:rPr>
                <w:rFonts w:hint="eastAsia" w:ascii="仿宋" w:hAnsi="仿宋" w:eastAsia="仿宋" w:cs="仿宋"/>
                <w:color w:val="auto"/>
                <w:szCs w:val="21"/>
              </w:rPr>
            </w:pPr>
          </w:p>
        </w:tc>
        <w:tc>
          <w:tcPr>
            <w:tcW w:w="1173" w:type="dxa"/>
            <w:tcBorders>
              <w:top w:val="single" w:color="auto" w:sz="4" w:space="0"/>
              <w:left w:val="single" w:color="auto" w:sz="4" w:space="0"/>
              <w:bottom w:val="single" w:color="auto" w:sz="4" w:space="0"/>
              <w:right w:val="single" w:color="auto" w:sz="4" w:space="0"/>
            </w:tcBorders>
            <w:vAlign w:val="center"/>
          </w:tcPr>
          <w:p w14:paraId="22B31354">
            <w:pPr>
              <w:spacing w:line="276" w:lineRule="auto"/>
              <w:rPr>
                <w:rFonts w:hint="eastAsia" w:ascii="仿宋" w:hAnsi="仿宋" w:eastAsia="仿宋" w:cs="仿宋"/>
                <w:color w:val="auto"/>
                <w:szCs w:val="21"/>
                <w:lang w:eastAsia="zh-CN"/>
              </w:rPr>
            </w:pPr>
            <w:r>
              <w:rPr>
                <w:rFonts w:hint="eastAsia" w:ascii="仿宋" w:hAnsi="仿宋" w:eastAsia="仿宋" w:cs="仿宋"/>
                <w:color w:val="auto"/>
                <w:lang w:val="en-US" w:eastAsia="zh-CN"/>
              </w:rPr>
              <w:t>配套</w:t>
            </w:r>
          </w:p>
        </w:tc>
        <w:tc>
          <w:tcPr>
            <w:tcW w:w="4701" w:type="dxa"/>
            <w:tcBorders>
              <w:top w:val="single" w:color="auto" w:sz="4" w:space="0"/>
              <w:left w:val="single" w:color="auto" w:sz="4" w:space="0"/>
              <w:bottom w:val="single" w:color="auto" w:sz="4" w:space="0"/>
              <w:right w:val="single" w:color="auto" w:sz="4" w:space="0"/>
            </w:tcBorders>
            <w:shd w:val="clear" w:color="auto" w:fill="auto"/>
            <w:vAlign w:val="center"/>
          </w:tcPr>
          <w:p w14:paraId="5A440213">
            <w:pPr>
              <w:spacing w:line="276" w:lineRule="auto"/>
              <w:rPr>
                <w:rFonts w:hint="default" w:ascii="仿宋" w:hAnsi="仿宋" w:eastAsia="仿宋" w:cs="仿宋"/>
                <w:color w:val="auto"/>
                <w:lang w:val="en-US" w:eastAsia="zh-CN"/>
              </w:rPr>
            </w:pPr>
            <w:r>
              <w:rPr>
                <w:rFonts w:hint="eastAsia" w:ascii="仿宋" w:hAnsi="仿宋" w:eastAsia="仿宋" w:cs="仿宋"/>
                <w:color w:val="auto"/>
                <w:lang w:val="en-US" w:eastAsia="zh-CN"/>
              </w:rPr>
              <w:t>电池之间连接铜排，上下层电池间连接线缆，4 组电池间并联线缆，电池帽，电池到电池开关柜 之间的连接线缆，UPS 到电池开关柜之间的连接 线缆，端子等；线缆均采用≥95mm²。配套电池开关柜，</w:t>
            </w:r>
            <w:r>
              <w:rPr>
                <w:rFonts w:hint="eastAsia" w:ascii="仿宋" w:hAnsi="仿宋" w:eastAsia="仿宋" w:cs="仿宋"/>
                <w:color w:val="auto"/>
                <w:szCs w:val="21"/>
                <w:lang w:val="en-US" w:eastAsia="zh-CN"/>
              </w:rPr>
              <w:t>，满足系统使用需求。</w:t>
            </w:r>
          </w:p>
        </w:tc>
        <w:tc>
          <w:tcPr>
            <w:tcW w:w="1033" w:type="dxa"/>
            <w:tcBorders>
              <w:top w:val="single" w:color="auto" w:sz="4" w:space="0"/>
              <w:left w:val="single" w:color="auto" w:sz="4" w:space="0"/>
              <w:bottom w:val="single" w:color="auto" w:sz="4" w:space="0"/>
              <w:right w:val="single" w:color="auto" w:sz="4" w:space="0"/>
            </w:tcBorders>
            <w:shd w:val="clear" w:color="auto" w:fill="auto"/>
            <w:vAlign w:val="center"/>
          </w:tcPr>
          <w:p w14:paraId="3173E6A2">
            <w:pPr>
              <w:spacing w:line="276" w:lineRule="auto"/>
              <w:jc w:val="center"/>
              <w:rPr>
                <w:rFonts w:hint="eastAsia" w:ascii="仿宋" w:hAnsi="仿宋" w:eastAsia="仿宋" w:cs="仿宋"/>
                <w:color w:val="auto"/>
              </w:rPr>
            </w:pPr>
            <w:r>
              <w:rPr>
                <w:rFonts w:hint="eastAsia" w:ascii="仿宋" w:hAnsi="仿宋" w:eastAsia="仿宋" w:cs="仿宋"/>
                <w:i w:val="0"/>
                <w:iCs w:val="0"/>
                <w:color w:val="auto"/>
                <w:kern w:val="0"/>
                <w:sz w:val="20"/>
                <w:szCs w:val="20"/>
                <w:u w:val="none"/>
                <w:lang w:val="en-US" w:eastAsia="zh-CN" w:bidi="ar"/>
              </w:rPr>
              <w:t>否</w:t>
            </w:r>
          </w:p>
        </w:tc>
      </w:tr>
    </w:tbl>
    <w:p w14:paraId="65530697">
      <w:pPr>
        <w:pStyle w:val="6"/>
        <w:rPr>
          <w:rStyle w:val="52"/>
          <w:rFonts w:hint="eastAsia" w:ascii="仿宋" w:hAnsi="仿宋" w:eastAsia="仿宋" w:cs="仿宋"/>
          <w:b/>
          <w:bCs/>
          <w:color w:val="auto"/>
          <w:sz w:val="24"/>
          <w:szCs w:val="24"/>
          <w:lang w:val="en-US" w:eastAsia="zh-CN"/>
        </w:rPr>
      </w:pPr>
    </w:p>
    <w:p w14:paraId="35473B40">
      <w:pPr>
        <w:pStyle w:val="6"/>
        <w:rPr>
          <w:rFonts w:hint="eastAsia" w:ascii="仿宋" w:hAnsi="仿宋" w:eastAsia="仿宋" w:cs="仿宋"/>
          <w:b/>
          <w:bCs/>
          <w:color w:val="auto"/>
          <w:sz w:val="24"/>
          <w:highlight w:val="none"/>
          <w:lang w:val="en-US" w:eastAsia="zh-CN"/>
        </w:rPr>
      </w:pPr>
    </w:p>
    <w:p w14:paraId="1D46F33F">
      <w:pPr>
        <w:pStyle w:val="6"/>
        <w:rPr>
          <w:rStyle w:val="52"/>
          <w:rFonts w:hint="eastAsia" w:ascii="仿宋" w:hAnsi="仿宋" w:eastAsia="仿宋" w:cs="仿宋"/>
          <w:b/>
          <w:bCs/>
          <w:color w:val="auto"/>
          <w:sz w:val="24"/>
          <w:szCs w:val="24"/>
          <w:lang w:val="en-US" w:eastAsia="zh-CN"/>
        </w:rPr>
      </w:pPr>
      <w:r>
        <w:rPr>
          <w:rStyle w:val="52"/>
          <w:rFonts w:hint="eastAsia" w:ascii="仿宋" w:hAnsi="仿宋" w:eastAsia="仿宋" w:cs="仿宋"/>
          <w:b/>
          <w:bCs/>
          <w:color w:val="auto"/>
          <w:sz w:val="24"/>
          <w:szCs w:val="24"/>
          <w:highlight w:val="none"/>
          <w:lang w:val="en-US" w:eastAsia="zh-CN"/>
        </w:rPr>
        <w:t xml:space="preserve">1.2.12 </w:t>
      </w:r>
      <w:r>
        <w:rPr>
          <w:rFonts w:hint="eastAsia" w:ascii="仿宋" w:hAnsi="仿宋" w:eastAsia="仿宋" w:cs="仿宋"/>
          <w:i w:val="0"/>
          <w:iCs w:val="0"/>
          <w:color w:val="auto"/>
          <w:kern w:val="0"/>
          <w:sz w:val="24"/>
          <w:szCs w:val="24"/>
          <w:highlight w:val="none"/>
          <w:u w:val="none"/>
          <w:lang w:val="en-US" w:eastAsia="zh-CN" w:bidi="ar"/>
        </w:rPr>
        <w:t>服务器操作系统</w:t>
      </w:r>
    </w:p>
    <w:tbl>
      <w:tblPr>
        <w:tblStyle w:val="43"/>
        <w:tblW w:w="91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19"/>
        <w:gridCol w:w="1020"/>
        <w:gridCol w:w="1085"/>
        <w:gridCol w:w="4981"/>
        <w:gridCol w:w="1020"/>
      </w:tblGrid>
      <w:tr w14:paraId="4C2B9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5C32B">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序号</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A700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重要性</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6CB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指标项</w:t>
            </w:r>
          </w:p>
        </w:tc>
        <w:tc>
          <w:tcPr>
            <w:tcW w:w="4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320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指标要求</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B897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证明材料要求</w:t>
            </w:r>
          </w:p>
        </w:tc>
      </w:tr>
      <w:tr w14:paraId="3A3B8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25F5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866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BA77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产品授权</w:t>
            </w:r>
          </w:p>
        </w:tc>
        <w:tc>
          <w:tcPr>
            <w:tcW w:w="4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D55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永久正版商业授权，无节点、无CPU核数限制(需提供产品功能截图或产品彩页或白皮书或规格书或技术参数网页截图)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08A0E">
            <w:pPr>
              <w:keepNext w:val="0"/>
              <w:keepLines w:val="0"/>
              <w:widowControl/>
              <w:suppressLineNumbers w:val="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72D7B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173F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F358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2B3C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访问控制</w:t>
            </w:r>
          </w:p>
        </w:tc>
        <w:tc>
          <w:tcPr>
            <w:tcW w:w="4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64433">
            <w:pPr>
              <w:keepNext w:val="0"/>
              <w:keepLines w:val="0"/>
              <w:widowControl/>
              <w:suppressLineNumbers w:val="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系统可支持强制访问控制，并可提供两种或以上强制访问控制模块联合加载，如SELINUX、APPARMOR等(需提供产品功能截图或产品彩页或白皮书或规格书或技术参数网页截图)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F4FA8">
            <w:pPr>
              <w:keepNext w:val="0"/>
              <w:keepLines w:val="0"/>
              <w:widowControl/>
              <w:suppressLineNumbers w:val="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04FD2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21EB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2C21">
            <w:pPr>
              <w:jc w:val="center"/>
              <w:rPr>
                <w:rFonts w:hint="eastAsia" w:ascii="仿宋" w:hAnsi="仿宋" w:eastAsia="仿宋" w:cs="仿宋"/>
                <w:i w:val="0"/>
                <w:iCs w:val="0"/>
                <w:color w:val="000000"/>
                <w:sz w:val="20"/>
                <w:szCs w:val="20"/>
                <w:u w:val="none"/>
              </w:rPr>
            </w:pPr>
          </w:p>
        </w:tc>
        <w:tc>
          <w:tcPr>
            <w:tcW w:w="10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8FD7C">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备份还原</w:t>
            </w:r>
          </w:p>
        </w:tc>
        <w:tc>
          <w:tcPr>
            <w:tcW w:w="4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7EF06">
            <w:pPr>
              <w:keepNext w:val="0"/>
              <w:keepLines w:val="0"/>
              <w:widowControl/>
              <w:suppressLineNumbers w:val="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操作系统提供备份还原功能，支持生成系统还原点备份、全量备份、增量备份及恢复系统状态</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4D5E2">
            <w:pPr>
              <w:keepNext w:val="0"/>
              <w:keepLines w:val="0"/>
              <w:widowControl/>
              <w:suppressLineNumbers w:val="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63649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2219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07FE">
            <w:pPr>
              <w:jc w:val="center"/>
              <w:rPr>
                <w:rFonts w:hint="eastAsia" w:ascii="仿宋" w:hAnsi="仿宋" w:eastAsia="仿宋" w:cs="仿宋"/>
                <w:i w:val="0"/>
                <w:iCs w:val="0"/>
                <w:color w:val="000000"/>
                <w:sz w:val="20"/>
                <w:szCs w:val="20"/>
                <w:u w:val="none"/>
              </w:rPr>
            </w:pP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E165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操作系统支持 多CPU架构</w:t>
            </w:r>
          </w:p>
        </w:tc>
        <w:tc>
          <w:tcPr>
            <w:tcW w:w="4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E1B9D">
            <w:pPr>
              <w:keepNext w:val="0"/>
              <w:keepLines w:val="0"/>
              <w:widowControl/>
              <w:suppressLineNumbers w:val="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操作系统支持同源兼容ARM、LoongArch、c86架构的CPU</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3DC9F">
            <w:pPr>
              <w:keepNext w:val="0"/>
              <w:keepLines w:val="0"/>
              <w:widowControl/>
              <w:suppressLineNumbers w:val="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0DFC2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FA12C">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05AF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9AA37">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安装过程配置</w:t>
            </w:r>
          </w:p>
        </w:tc>
        <w:tc>
          <w:tcPr>
            <w:tcW w:w="4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F0FD4">
            <w:pPr>
              <w:keepNext w:val="0"/>
              <w:keepLines w:val="0"/>
              <w:widowControl/>
              <w:suppressLineNumbers w:val="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操作系统支持安装界面文种设置，默认为简化汉字方式显示，提供时区设置、 计算机名设置等</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F12D4">
            <w:pPr>
              <w:keepNext w:val="0"/>
              <w:keepLines w:val="0"/>
              <w:widowControl/>
              <w:suppressLineNumbers w:val="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38633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654E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5A67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4D9CB">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硬盘分区</w:t>
            </w:r>
          </w:p>
        </w:tc>
        <w:tc>
          <w:tcPr>
            <w:tcW w:w="4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DED2">
            <w:pPr>
              <w:keepNext w:val="0"/>
              <w:keepLines w:val="0"/>
              <w:widowControl/>
              <w:suppressLineNumbers w:val="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操作系统支持整个硬盘自动分区、自定义分区，支持逻辑分区配置(如LVM),支持创建备份分区；自定义分区时能自动检测分区设置的合规性，删除已有分区或格式化硬盘提示告警信息</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8D9B7">
            <w:pPr>
              <w:keepNext w:val="0"/>
              <w:keepLines w:val="0"/>
              <w:widowControl/>
              <w:suppressLineNumbers w:val="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否</w:t>
            </w:r>
          </w:p>
        </w:tc>
      </w:tr>
      <w:tr w14:paraId="66611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4046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7</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1604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8C5C">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投标承诺</w:t>
            </w:r>
          </w:p>
        </w:tc>
        <w:tc>
          <w:tcPr>
            <w:tcW w:w="4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0E613">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投标承诺所投产品符合财政部、工信部发布的《通用服务器政府采购需求标准（2023年版）》中所有★指标要求，提供加盖报价人公章的承诺函，否则作无效投标处理。</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7082">
            <w:pPr>
              <w:keepNext w:val="0"/>
              <w:keepLines w:val="0"/>
              <w:widowControl/>
              <w:suppressLineNumbers w:val="0"/>
              <w:jc w:val="both"/>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7451B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10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4C994">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8</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2F09D">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0E30C">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安全可靠</w:t>
            </w:r>
          </w:p>
        </w:tc>
        <w:tc>
          <w:tcPr>
            <w:tcW w:w="49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C927D">
            <w:pPr>
              <w:keepNext w:val="0"/>
              <w:keepLines w:val="0"/>
              <w:widowControl/>
              <w:suppressLineNumbers w:val="0"/>
              <w:jc w:val="left"/>
              <w:textAlignment w:val="center"/>
              <w:rPr>
                <w:rFonts w:hint="default" w:ascii="仿宋" w:hAnsi="仿宋" w:eastAsia="宋体"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操作系统应当符合安全可靠测评要求，提供通过政府有关部门指定的中国信息安全测评中心和国家保密科技测评中心网站查看安全可靠测评结果的截图</w:t>
            </w:r>
          </w:p>
        </w:tc>
        <w:tc>
          <w:tcPr>
            <w:tcW w:w="10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8AF3">
            <w:pPr>
              <w:keepNext w:val="0"/>
              <w:keepLines w:val="0"/>
              <w:widowControl/>
              <w:suppressLineNumbers w:val="0"/>
              <w:jc w:val="both"/>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是</w:t>
            </w:r>
          </w:p>
        </w:tc>
      </w:tr>
    </w:tbl>
    <w:p w14:paraId="1E16B1B4">
      <w:pPr>
        <w:pStyle w:val="6"/>
        <w:rPr>
          <w:rStyle w:val="52"/>
          <w:rFonts w:hint="eastAsia" w:ascii="仿宋" w:hAnsi="仿宋" w:eastAsia="仿宋" w:cs="仿宋"/>
          <w:b/>
          <w:bCs/>
          <w:color w:val="auto"/>
          <w:sz w:val="24"/>
          <w:szCs w:val="24"/>
          <w:lang w:val="en-US" w:eastAsia="zh-CN"/>
        </w:rPr>
      </w:pPr>
    </w:p>
    <w:p w14:paraId="60174519">
      <w:pPr>
        <w:pStyle w:val="6"/>
        <w:rPr>
          <w:rStyle w:val="52"/>
          <w:rFonts w:hint="eastAsia" w:ascii="仿宋" w:hAnsi="仿宋" w:eastAsia="仿宋" w:cs="仿宋"/>
          <w:b/>
          <w:bCs/>
          <w:color w:val="auto"/>
          <w:sz w:val="24"/>
          <w:szCs w:val="24"/>
          <w:lang w:val="en-US" w:eastAsia="zh-CN"/>
        </w:rPr>
      </w:pPr>
    </w:p>
    <w:p w14:paraId="61F1B140">
      <w:pPr>
        <w:pStyle w:val="6"/>
        <w:rPr>
          <w:rStyle w:val="52"/>
          <w:rFonts w:hint="eastAsia" w:ascii="仿宋" w:hAnsi="仿宋" w:eastAsia="仿宋" w:cs="仿宋"/>
          <w:b/>
          <w:bCs/>
          <w:color w:val="auto"/>
          <w:sz w:val="24"/>
          <w:szCs w:val="24"/>
          <w:lang w:val="en-US" w:eastAsia="zh-CN"/>
        </w:rPr>
      </w:pPr>
      <w:r>
        <w:rPr>
          <w:rStyle w:val="52"/>
          <w:rFonts w:hint="eastAsia" w:ascii="仿宋" w:hAnsi="仿宋" w:eastAsia="仿宋" w:cs="仿宋"/>
          <w:b/>
          <w:bCs/>
          <w:color w:val="auto"/>
          <w:sz w:val="24"/>
          <w:szCs w:val="24"/>
          <w:lang w:val="en-US" w:eastAsia="zh-CN"/>
        </w:rPr>
        <w:t>1.</w:t>
      </w:r>
      <w:r>
        <w:rPr>
          <w:rStyle w:val="52"/>
          <w:rFonts w:hint="eastAsia" w:ascii="仿宋" w:hAnsi="仿宋" w:eastAsia="仿宋" w:cs="仿宋"/>
          <w:b/>
          <w:bCs/>
          <w:color w:val="auto"/>
          <w:sz w:val="24"/>
          <w:szCs w:val="24"/>
          <w:highlight w:val="none"/>
          <w:lang w:val="en-US" w:eastAsia="zh-CN"/>
        </w:rPr>
        <w:t>2.13 数据库</w:t>
      </w:r>
    </w:p>
    <w:tbl>
      <w:tblPr>
        <w:tblStyle w:val="43"/>
        <w:tblW w:w="8553" w:type="dxa"/>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3"/>
        <w:gridCol w:w="472"/>
        <w:gridCol w:w="905"/>
        <w:gridCol w:w="5849"/>
        <w:gridCol w:w="884"/>
      </w:tblGrid>
      <w:tr w14:paraId="1B9AD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CD445">
            <w:pPr>
              <w:keepNext w:val="0"/>
              <w:keepLines w:val="0"/>
              <w:widowControl/>
              <w:suppressLineNumbers w:val="0"/>
              <w:jc w:val="center"/>
              <w:textAlignment w:val="center"/>
              <w:rPr>
                <w:rFonts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序号</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387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重要性</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3910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指标项</w:t>
            </w:r>
          </w:p>
        </w:tc>
        <w:tc>
          <w:tcPr>
            <w:tcW w:w="5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D768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指标要求</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E504F">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证明材料要求</w:t>
            </w:r>
          </w:p>
        </w:tc>
      </w:tr>
      <w:tr w14:paraId="299CF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E17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1</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16B8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ECB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CPU架构适配</w:t>
            </w:r>
          </w:p>
        </w:tc>
        <w:tc>
          <w:tcPr>
            <w:tcW w:w="5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CB0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全面兼容鲲鹏、海光、飞腾、龙芯、兆芯等国产CPU，同时兼容x86架构(需提供产品功能截图或产品彩页或白皮书或规格书或技术参数网页截图)</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33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78BC8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05D2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2</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CF4C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F816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操作系统适配</w:t>
            </w:r>
          </w:p>
        </w:tc>
        <w:tc>
          <w:tcPr>
            <w:tcW w:w="5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9D9D7">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支持麒麟、统信UOS、欧拉、红旗Linux、CentOS、Windows等主流操作系统(需提供产品功能截图或产品彩页或白皮书或规格书或技术参数网页截图)</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35C2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29F09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5" w:hRule="atLeast"/>
        </w:trPr>
        <w:tc>
          <w:tcPr>
            <w:tcW w:w="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7777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3</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1C9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2DCC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数据库语法兼容</w:t>
            </w:r>
          </w:p>
        </w:tc>
        <w:tc>
          <w:tcPr>
            <w:tcW w:w="5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838A">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高度兼容Oracle SQL、PL/SQL语法，兼容Oracle常用函数、视图、存储过程、触发器、DBLINK、物化视图，支持MySQL常用语法（auto_increment等），保障业务无缝迁移(需提供产品功能截图或产品彩页或白皮书或规格书或技术参数网页截图)</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4092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4F08A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97A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4</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7EE26">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6EF7B">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接口兼容</w:t>
            </w:r>
          </w:p>
        </w:tc>
        <w:tc>
          <w:tcPr>
            <w:tcW w:w="5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19CA4">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标准支持JDBC、ODBC、OCI、ADO.NET等通用数据库接口，适配主流中间件与业务系统(需提供功能截图、产品彩页、白皮书等证明材料)</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4205">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186C5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0420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5</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7E31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C7AEE">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产品授权</w:t>
            </w:r>
          </w:p>
        </w:tc>
        <w:tc>
          <w:tcPr>
            <w:tcW w:w="5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D002D">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永久正版商业授权(需提供产品功能截图或产品彩页或白皮书或规格书或技术参数网页截图)</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A2F28">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38DFD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7442">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6</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301C9">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532F7">
            <w:pPr>
              <w:keepNext w:val="0"/>
              <w:keepLines w:val="0"/>
              <w:widowControl/>
              <w:suppressLineNumbers w:val="0"/>
              <w:jc w:val="center"/>
              <w:textAlignment w:val="center"/>
              <w:rPr>
                <w:rFonts w:hint="eastAsia" w:ascii="仿宋" w:hAnsi="仿宋" w:eastAsia="仿宋" w:cs="仿宋"/>
                <w:i w:val="0"/>
                <w:iCs w:val="0"/>
                <w:color w:val="000000"/>
                <w:sz w:val="20"/>
                <w:szCs w:val="20"/>
                <w:highlight w:val="none"/>
                <w:u w:val="none"/>
              </w:rPr>
            </w:pPr>
            <w:r>
              <w:rPr>
                <w:rFonts w:hint="eastAsia" w:ascii="仿宋" w:hAnsi="仿宋" w:eastAsia="仿宋" w:cs="仿宋"/>
                <w:i w:val="0"/>
                <w:iCs w:val="0"/>
                <w:color w:val="000000"/>
                <w:kern w:val="0"/>
                <w:sz w:val="20"/>
                <w:szCs w:val="20"/>
                <w:highlight w:val="none"/>
                <w:u w:val="none"/>
                <w:lang w:val="en-US" w:eastAsia="zh-CN" w:bidi="ar"/>
              </w:rPr>
              <w:t>投标承诺</w:t>
            </w:r>
          </w:p>
        </w:tc>
        <w:tc>
          <w:tcPr>
            <w:tcW w:w="5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06F1">
            <w:pPr>
              <w:keepNext w:val="0"/>
              <w:keepLines w:val="0"/>
              <w:widowControl/>
              <w:suppressLineNumbers w:val="0"/>
              <w:jc w:val="left"/>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投标承诺所投产品符合财政部、工信部发布的《通用服务器政府采购需求标准（2023年版）》中所有★指标要求，提供加盖报价人公章的承诺函，否则作无效投标处理。</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1D310">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color w:val="000000"/>
                <w:kern w:val="0"/>
                <w:sz w:val="20"/>
                <w:szCs w:val="20"/>
                <w:u w:val="none"/>
                <w:lang w:val="en-US" w:eastAsia="zh-CN" w:bidi="ar"/>
              </w:rPr>
              <w:t>是</w:t>
            </w:r>
          </w:p>
        </w:tc>
      </w:tr>
      <w:tr w14:paraId="5F13C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08C2E">
            <w:pPr>
              <w:keepNext w:val="0"/>
              <w:keepLines w:val="0"/>
              <w:widowControl/>
              <w:suppressLineNumbers w:val="0"/>
              <w:jc w:val="center"/>
              <w:textAlignment w:val="center"/>
              <w:rPr>
                <w:rFonts w:hint="default"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7</w:t>
            </w:r>
          </w:p>
        </w:tc>
        <w:tc>
          <w:tcPr>
            <w:tcW w:w="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E221">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935A3">
            <w:pPr>
              <w:keepNext w:val="0"/>
              <w:keepLines w:val="0"/>
              <w:widowControl/>
              <w:suppressLineNumbers w:val="0"/>
              <w:jc w:val="center"/>
              <w:textAlignment w:val="center"/>
              <w:rPr>
                <w:rFonts w:hint="default"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安全可靠</w:t>
            </w:r>
          </w:p>
        </w:tc>
        <w:tc>
          <w:tcPr>
            <w:tcW w:w="58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FB270">
            <w:pPr>
              <w:keepNext w:val="0"/>
              <w:keepLines w:val="0"/>
              <w:widowControl/>
              <w:suppressLineNumbers w:val="0"/>
              <w:jc w:val="left"/>
              <w:textAlignment w:val="center"/>
              <w:rPr>
                <w:rFonts w:hint="default" w:ascii="仿宋" w:hAnsi="仿宋" w:eastAsia="宋体"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数据库应当符合安全可靠测评要求，提供通过政府有关部门指定的中国信息安全测评中心和国家保密科技测评中心网站查看安全可靠测评结果的截图</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23610">
            <w:pPr>
              <w:keepNext w:val="0"/>
              <w:keepLines w:val="0"/>
              <w:widowControl/>
              <w:suppressLineNumbers w:val="0"/>
              <w:jc w:val="center"/>
              <w:textAlignment w:val="center"/>
              <w:rPr>
                <w:rFonts w:hint="eastAsia" w:ascii="仿宋" w:hAnsi="仿宋" w:eastAsia="仿宋" w:cs="仿宋"/>
                <w:i w:val="0"/>
                <w:iCs w:val="0"/>
                <w:color w:val="000000"/>
                <w:kern w:val="0"/>
                <w:sz w:val="20"/>
                <w:szCs w:val="20"/>
                <w:u w:val="none"/>
                <w:lang w:val="en-US" w:eastAsia="zh-CN" w:bidi="ar"/>
              </w:rPr>
            </w:pPr>
            <w:r>
              <w:rPr>
                <w:rFonts w:hint="eastAsia" w:ascii="仿宋" w:hAnsi="仿宋" w:eastAsia="仿宋" w:cs="仿宋"/>
                <w:i w:val="0"/>
                <w:iCs w:val="0"/>
                <w:color w:val="000000"/>
                <w:kern w:val="0"/>
                <w:sz w:val="20"/>
                <w:szCs w:val="20"/>
                <w:u w:val="none"/>
                <w:lang w:val="en-US" w:eastAsia="zh-CN" w:bidi="ar"/>
              </w:rPr>
              <w:t>是</w:t>
            </w:r>
          </w:p>
        </w:tc>
      </w:tr>
    </w:tbl>
    <w:p w14:paraId="777CD214">
      <w:pPr>
        <w:spacing w:line="360" w:lineRule="auto"/>
        <w:ind w:firstLine="482" w:firstLineChars="200"/>
        <w:contextualSpacing/>
        <w:rPr>
          <w:rFonts w:hint="eastAsia" w:ascii="仿宋" w:hAnsi="仿宋" w:eastAsia="仿宋" w:cs="仿宋"/>
          <w:b/>
          <w:bCs/>
          <w:color w:val="auto"/>
          <w:sz w:val="24"/>
        </w:rPr>
      </w:pPr>
    </w:p>
    <w:p w14:paraId="19CCD7A6">
      <w:pPr>
        <w:spacing w:line="360" w:lineRule="auto"/>
        <w:ind w:firstLine="482" w:firstLineChars="200"/>
        <w:contextualSpacing/>
        <w:rPr>
          <w:rFonts w:hint="eastAsia" w:ascii="仿宋" w:hAnsi="仿宋" w:eastAsia="仿宋" w:cs="仿宋"/>
          <w:b/>
          <w:bCs/>
          <w:color w:val="auto"/>
          <w:sz w:val="24"/>
        </w:rPr>
      </w:pPr>
    </w:p>
    <w:p w14:paraId="0D9972BF">
      <w:pPr>
        <w:spacing w:line="360" w:lineRule="auto"/>
        <w:ind w:firstLine="482" w:firstLineChars="200"/>
        <w:contextualSpacing/>
        <w:rPr>
          <w:rFonts w:hint="eastAsia" w:ascii="仿宋" w:hAnsi="仿宋" w:eastAsia="仿宋" w:cs="仿宋"/>
          <w:b/>
          <w:bCs/>
          <w:color w:val="auto"/>
          <w:sz w:val="24"/>
        </w:rPr>
      </w:pPr>
      <w:r>
        <w:rPr>
          <w:rFonts w:hint="eastAsia" w:ascii="仿宋" w:hAnsi="仿宋" w:eastAsia="仿宋" w:cs="仿宋"/>
          <w:b/>
          <w:bCs/>
          <w:color w:val="auto"/>
          <w:sz w:val="24"/>
          <w:lang w:val="en-US" w:eastAsia="zh-CN"/>
        </w:rPr>
        <w:t xml:space="preserve">1.3 </w:t>
      </w:r>
      <w:r>
        <w:rPr>
          <w:rFonts w:hint="eastAsia" w:ascii="仿宋" w:hAnsi="仿宋" w:eastAsia="仿宋" w:cs="仿宋"/>
          <w:b/>
          <w:bCs/>
          <w:color w:val="auto"/>
          <w:sz w:val="24"/>
        </w:rPr>
        <w:t>实施要求</w:t>
      </w:r>
    </w:p>
    <w:tbl>
      <w:tblPr>
        <w:tblStyle w:val="247"/>
        <w:tblW w:w="83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2"/>
        <w:gridCol w:w="851"/>
        <w:gridCol w:w="6893"/>
      </w:tblGrid>
      <w:tr w14:paraId="21F504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 w:hRule="atLeast"/>
        </w:trPr>
        <w:tc>
          <w:tcPr>
            <w:tcW w:w="572" w:type="dxa"/>
            <w:vAlign w:val="center"/>
          </w:tcPr>
          <w:p w14:paraId="1DBFE4A1">
            <w:pPr>
              <w:pStyle w:val="254"/>
              <w:snapToGrid/>
              <w:spacing w:line="276" w:lineRule="auto"/>
              <w:contextualSpacing/>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序号</w:t>
            </w:r>
          </w:p>
        </w:tc>
        <w:tc>
          <w:tcPr>
            <w:tcW w:w="851" w:type="dxa"/>
            <w:vAlign w:val="center"/>
          </w:tcPr>
          <w:p w14:paraId="1EAFFE26">
            <w:pPr>
              <w:pStyle w:val="254"/>
              <w:snapToGrid/>
              <w:spacing w:line="276" w:lineRule="auto"/>
              <w:contextualSpacing/>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内容</w:t>
            </w:r>
          </w:p>
        </w:tc>
        <w:tc>
          <w:tcPr>
            <w:tcW w:w="6893" w:type="dxa"/>
            <w:vAlign w:val="center"/>
          </w:tcPr>
          <w:p w14:paraId="1F881FCD">
            <w:pPr>
              <w:pStyle w:val="254"/>
              <w:snapToGrid/>
              <w:spacing w:line="276" w:lineRule="auto"/>
              <w:contextualSpacing/>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实施标准</w:t>
            </w:r>
          </w:p>
        </w:tc>
      </w:tr>
      <w:tr w14:paraId="6A0E8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 w:hRule="atLeast"/>
        </w:trPr>
        <w:tc>
          <w:tcPr>
            <w:tcW w:w="572" w:type="dxa"/>
            <w:vAlign w:val="center"/>
          </w:tcPr>
          <w:p w14:paraId="766E5009">
            <w:pPr>
              <w:pStyle w:val="254"/>
              <w:numPr>
                <w:ilvl w:val="0"/>
                <w:numId w:val="9"/>
              </w:numPr>
              <w:snapToGrid/>
              <w:spacing w:line="276" w:lineRule="auto"/>
              <w:ind w:firstLine="459"/>
              <w:contextualSpacing/>
              <w:jc w:val="center"/>
              <w:rPr>
                <w:rFonts w:hint="eastAsia" w:ascii="仿宋" w:hAnsi="仿宋" w:eastAsia="仿宋" w:cs="仿宋"/>
                <w:color w:val="auto"/>
                <w:sz w:val="21"/>
                <w:szCs w:val="21"/>
              </w:rPr>
            </w:pPr>
          </w:p>
        </w:tc>
        <w:tc>
          <w:tcPr>
            <w:tcW w:w="851" w:type="dxa"/>
            <w:vAlign w:val="center"/>
          </w:tcPr>
          <w:p w14:paraId="303DEC8E">
            <w:pPr>
              <w:pStyle w:val="254"/>
              <w:spacing w:before="147" w:line="360" w:lineRule="auto"/>
              <w:rPr>
                <w:rFonts w:hint="eastAsia" w:ascii="仿宋" w:hAnsi="仿宋" w:eastAsia="仿宋" w:cs="仿宋"/>
                <w:snapToGrid/>
                <w:color w:val="auto"/>
                <w:sz w:val="21"/>
                <w:szCs w:val="21"/>
                <w:lang w:eastAsia="zh-CN"/>
              </w:rPr>
            </w:pPr>
            <w:r>
              <w:rPr>
                <w:rFonts w:hint="eastAsia" w:ascii="仿宋" w:hAnsi="仿宋" w:eastAsia="仿宋" w:cs="仿宋"/>
                <w:snapToGrid/>
                <w:color w:val="auto"/>
                <w:sz w:val="21"/>
                <w:szCs w:val="21"/>
                <w:lang w:eastAsia="zh-CN"/>
              </w:rPr>
              <w:t>项目实施过程控制</w:t>
            </w:r>
          </w:p>
        </w:tc>
        <w:tc>
          <w:tcPr>
            <w:tcW w:w="6893" w:type="dxa"/>
            <w:vAlign w:val="center"/>
          </w:tcPr>
          <w:p w14:paraId="7C570CE8">
            <w:pPr>
              <w:pStyle w:val="254"/>
              <w:spacing w:before="147" w:line="360" w:lineRule="auto"/>
              <w:rPr>
                <w:rFonts w:hint="eastAsia" w:ascii="仿宋" w:hAnsi="仿宋" w:eastAsia="仿宋" w:cs="仿宋"/>
                <w:snapToGrid/>
                <w:color w:val="auto"/>
                <w:sz w:val="21"/>
                <w:szCs w:val="21"/>
                <w:lang w:eastAsia="zh-CN"/>
              </w:rPr>
            </w:pPr>
            <w:r>
              <w:rPr>
                <w:rFonts w:hint="eastAsia" w:ascii="仿宋" w:hAnsi="仿宋" w:eastAsia="仿宋" w:cs="仿宋"/>
                <w:snapToGrid/>
                <w:color w:val="auto"/>
                <w:sz w:val="21"/>
                <w:szCs w:val="21"/>
                <w:lang w:eastAsia="zh-CN"/>
              </w:rPr>
              <w:t>具有完整严格的项目实施过程控制计划表，设备安装前应根据货物类别、数量及使用需求进行配套深化设计，图纸经确认后进行设备采购。进度控制依据：项目进度表、项目进展报告、变更请求等。进度控制的结果：项目时间表更新、补救的行动、总结等。</w:t>
            </w:r>
          </w:p>
        </w:tc>
      </w:tr>
      <w:tr w14:paraId="6F1D2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 w:hRule="atLeast"/>
        </w:trPr>
        <w:tc>
          <w:tcPr>
            <w:tcW w:w="572" w:type="dxa"/>
            <w:vAlign w:val="center"/>
          </w:tcPr>
          <w:p w14:paraId="64B51B62">
            <w:pPr>
              <w:pStyle w:val="254"/>
              <w:numPr>
                <w:ilvl w:val="0"/>
                <w:numId w:val="9"/>
              </w:numPr>
              <w:snapToGrid/>
              <w:spacing w:line="276" w:lineRule="auto"/>
              <w:ind w:firstLine="459"/>
              <w:contextualSpacing/>
              <w:jc w:val="center"/>
              <w:rPr>
                <w:rFonts w:hint="eastAsia" w:ascii="仿宋" w:hAnsi="仿宋" w:eastAsia="仿宋" w:cs="仿宋"/>
                <w:color w:val="auto"/>
                <w:sz w:val="21"/>
                <w:szCs w:val="21"/>
                <w:lang w:eastAsia="zh-CN"/>
              </w:rPr>
            </w:pPr>
          </w:p>
        </w:tc>
        <w:tc>
          <w:tcPr>
            <w:tcW w:w="851" w:type="dxa"/>
            <w:vAlign w:val="center"/>
          </w:tcPr>
          <w:p w14:paraId="468085AF">
            <w:pPr>
              <w:pStyle w:val="254"/>
              <w:spacing w:before="147" w:line="360" w:lineRule="auto"/>
              <w:rPr>
                <w:rFonts w:hint="eastAsia" w:ascii="仿宋" w:hAnsi="仿宋" w:eastAsia="仿宋" w:cs="仿宋"/>
                <w:snapToGrid/>
                <w:color w:val="auto"/>
                <w:sz w:val="21"/>
                <w:szCs w:val="21"/>
                <w:lang w:eastAsia="zh-CN"/>
              </w:rPr>
            </w:pPr>
            <w:r>
              <w:rPr>
                <w:rFonts w:hint="eastAsia" w:ascii="仿宋" w:hAnsi="仿宋" w:eastAsia="仿宋" w:cs="仿宋"/>
                <w:snapToGrid/>
                <w:color w:val="auto"/>
                <w:sz w:val="21"/>
                <w:szCs w:val="21"/>
                <w:lang w:eastAsia="zh-CN"/>
              </w:rPr>
              <w:t>项目实施过程文档管理</w:t>
            </w:r>
          </w:p>
        </w:tc>
        <w:tc>
          <w:tcPr>
            <w:tcW w:w="6893" w:type="dxa"/>
            <w:vAlign w:val="center"/>
          </w:tcPr>
          <w:p w14:paraId="2D3C0944">
            <w:pPr>
              <w:pStyle w:val="254"/>
              <w:kinsoku/>
              <w:spacing w:before="147" w:line="360" w:lineRule="auto"/>
              <w:rPr>
                <w:rFonts w:hint="eastAsia" w:ascii="仿宋" w:hAnsi="仿宋" w:eastAsia="仿宋" w:cs="仿宋"/>
                <w:snapToGrid/>
                <w:color w:val="auto"/>
                <w:sz w:val="21"/>
                <w:szCs w:val="21"/>
                <w:lang w:eastAsia="zh-CN"/>
              </w:rPr>
            </w:pPr>
            <w:r>
              <w:rPr>
                <w:rFonts w:hint="eastAsia" w:ascii="仿宋" w:hAnsi="仿宋" w:eastAsia="仿宋" w:cs="仿宋"/>
                <w:snapToGrid/>
                <w:color w:val="auto"/>
                <w:sz w:val="21"/>
                <w:szCs w:val="21"/>
                <w:lang w:eastAsia="zh-CN"/>
              </w:rPr>
              <w:t>对文档进行明确分类，包括但不限于技术类文档、安装计划类文档、配置计划类文档、手册类文档、测试类文档、试运行类文档及验收类文档等。及时地、分阶段地提交文档，以保证项目文档的完整性和实时性。终验后，投标人负责全部建设文档的归档工作，内部资料由采购人负责整理。</w:t>
            </w:r>
          </w:p>
        </w:tc>
      </w:tr>
      <w:tr w14:paraId="521590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 w:hRule="atLeast"/>
        </w:trPr>
        <w:tc>
          <w:tcPr>
            <w:tcW w:w="572" w:type="dxa"/>
            <w:vAlign w:val="center"/>
          </w:tcPr>
          <w:p w14:paraId="036606C8">
            <w:pPr>
              <w:pStyle w:val="254"/>
              <w:numPr>
                <w:ilvl w:val="0"/>
                <w:numId w:val="9"/>
              </w:numPr>
              <w:snapToGrid/>
              <w:spacing w:line="276" w:lineRule="auto"/>
              <w:ind w:firstLine="459"/>
              <w:contextualSpacing/>
              <w:jc w:val="both"/>
              <w:rPr>
                <w:rFonts w:hint="eastAsia" w:ascii="仿宋" w:hAnsi="仿宋" w:eastAsia="仿宋" w:cs="仿宋"/>
                <w:color w:val="auto"/>
                <w:sz w:val="21"/>
                <w:szCs w:val="21"/>
                <w:lang w:eastAsia="zh-CN"/>
              </w:rPr>
            </w:pPr>
          </w:p>
        </w:tc>
        <w:tc>
          <w:tcPr>
            <w:tcW w:w="851" w:type="dxa"/>
            <w:vAlign w:val="center"/>
          </w:tcPr>
          <w:p w14:paraId="3D0EDC6C">
            <w:pPr>
              <w:pStyle w:val="254"/>
              <w:spacing w:before="147" w:line="360" w:lineRule="auto"/>
              <w:rPr>
                <w:rFonts w:hint="eastAsia" w:ascii="仿宋" w:hAnsi="仿宋" w:eastAsia="仿宋" w:cs="仿宋"/>
                <w:snapToGrid/>
                <w:color w:val="auto"/>
                <w:sz w:val="21"/>
                <w:szCs w:val="21"/>
                <w:lang w:eastAsia="zh-CN"/>
              </w:rPr>
            </w:pPr>
            <w:r>
              <w:rPr>
                <w:rFonts w:hint="eastAsia" w:ascii="仿宋" w:hAnsi="仿宋" w:eastAsia="仿宋" w:cs="仿宋"/>
                <w:snapToGrid/>
                <w:color w:val="auto"/>
                <w:sz w:val="21"/>
                <w:szCs w:val="21"/>
                <w:lang w:eastAsia="zh-CN"/>
              </w:rPr>
              <w:t>项目实施组织架构</w:t>
            </w:r>
          </w:p>
        </w:tc>
        <w:tc>
          <w:tcPr>
            <w:tcW w:w="6893" w:type="dxa"/>
            <w:vAlign w:val="center"/>
          </w:tcPr>
          <w:p w14:paraId="67D727EF">
            <w:pPr>
              <w:pStyle w:val="254"/>
              <w:spacing w:before="147" w:line="360" w:lineRule="auto"/>
              <w:rPr>
                <w:rFonts w:hint="eastAsia" w:ascii="仿宋" w:hAnsi="仿宋" w:eastAsia="仿宋" w:cs="仿宋"/>
                <w:snapToGrid/>
                <w:color w:val="auto"/>
                <w:sz w:val="21"/>
                <w:szCs w:val="21"/>
                <w:lang w:eastAsia="zh-CN"/>
              </w:rPr>
            </w:pPr>
            <w:r>
              <w:rPr>
                <w:rFonts w:hint="eastAsia" w:ascii="仿宋" w:hAnsi="仿宋" w:eastAsia="仿宋" w:cs="仿宋"/>
                <w:snapToGrid/>
                <w:color w:val="auto"/>
                <w:sz w:val="21"/>
                <w:szCs w:val="21"/>
                <w:lang w:eastAsia="zh-CN"/>
              </w:rPr>
              <w:t>投标人应针对本项目建立完整的、行之有效的组织体系，明确各职能组的人员、职责和组间关系，保证项目组协调运行，以便顺利完成任务。</w:t>
            </w:r>
          </w:p>
        </w:tc>
      </w:tr>
      <w:tr w14:paraId="4CD1E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 w:hRule="atLeast"/>
        </w:trPr>
        <w:tc>
          <w:tcPr>
            <w:tcW w:w="572" w:type="dxa"/>
            <w:vAlign w:val="center"/>
          </w:tcPr>
          <w:p w14:paraId="722E163F">
            <w:pPr>
              <w:pStyle w:val="254"/>
              <w:numPr>
                <w:ilvl w:val="0"/>
                <w:numId w:val="9"/>
              </w:numPr>
              <w:snapToGrid/>
              <w:spacing w:line="276" w:lineRule="auto"/>
              <w:ind w:firstLine="459"/>
              <w:contextualSpacing/>
              <w:jc w:val="center"/>
              <w:rPr>
                <w:rFonts w:hint="eastAsia" w:ascii="仿宋" w:hAnsi="仿宋" w:eastAsia="仿宋" w:cs="仿宋"/>
                <w:color w:val="auto"/>
                <w:sz w:val="21"/>
                <w:szCs w:val="21"/>
                <w:lang w:eastAsia="zh-CN"/>
              </w:rPr>
            </w:pPr>
          </w:p>
        </w:tc>
        <w:tc>
          <w:tcPr>
            <w:tcW w:w="851" w:type="dxa"/>
            <w:vAlign w:val="center"/>
          </w:tcPr>
          <w:p w14:paraId="38104F11">
            <w:pPr>
              <w:pStyle w:val="254"/>
              <w:spacing w:before="147" w:line="360" w:lineRule="auto"/>
              <w:rPr>
                <w:rFonts w:hint="eastAsia" w:ascii="仿宋" w:hAnsi="仿宋" w:eastAsia="仿宋" w:cs="仿宋"/>
                <w:snapToGrid/>
                <w:color w:val="auto"/>
                <w:sz w:val="21"/>
                <w:szCs w:val="21"/>
                <w:lang w:eastAsia="zh-CN"/>
              </w:rPr>
            </w:pPr>
            <w:r>
              <w:rPr>
                <w:rFonts w:hint="eastAsia" w:ascii="仿宋" w:hAnsi="仿宋" w:eastAsia="仿宋" w:cs="仿宋"/>
                <w:snapToGrid/>
                <w:color w:val="auto"/>
                <w:sz w:val="21"/>
                <w:szCs w:val="21"/>
                <w:lang w:eastAsia="zh-CN"/>
              </w:rPr>
              <w:t>项目实施进度安排</w:t>
            </w:r>
          </w:p>
        </w:tc>
        <w:tc>
          <w:tcPr>
            <w:tcW w:w="6893" w:type="dxa"/>
            <w:vAlign w:val="center"/>
          </w:tcPr>
          <w:p w14:paraId="4819BBA3">
            <w:pPr>
              <w:pStyle w:val="254"/>
              <w:kinsoku/>
              <w:spacing w:before="147" w:line="360" w:lineRule="auto"/>
              <w:rPr>
                <w:rFonts w:hint="eastAsia" w:ascii="仿宋" w:hAnsi="仿宋" w:eastAsia="仿宋" w:cs="仿宋"/>
                <w:snapToGrid/>
                <w:color w:val="auto"/>
                <w:sz w:val="21"/>
                <w:szCs w:val="21"/>
                <w:lang w:eastAsia="zh-CN"/>
              </w:rPr>
            </w:pPr>
            <w:r>
              <w:rPr>
                <w:rFonts w:hint="eastAsia" w:ascii="仿宋" w:hAnsi="仿宋" w:eastAsia="仿宋" w:cs="仿宋"/>
                <w:snapToGrid/>
                <w:color w:val="auto"/>
                <w:sz w:val="21"/>
                <w:szCs w:val="21"/>
                <w:lang w:eastAsia="zh-CN"/>
              </w:rPr>
              <w:t>投标人应结合实际情况制订全面详尽切实可行的进度计划，并经采购人确认。投标人应采取必要和适当的措施来保证整体项目按照批准的进度计划或按照经过修订并批准的进度计划进行建设实施。在整体项目实施过程中，投标人应定期检查各相关工作配合方的实施进度，有责任督促各工作任务负责方（货物制造商、需求方）按照计划进行系统实施。若对项目推进过程中的实施进度要求、多方配合机制有疑问，应及时以书面形式通报采购人相关管理部门，并与采购人相关管理部门一起协调处理。</w:t>
            </w:r>
          </w:p>
        </w:tc>
      </w:tr>
      <w:tr w14:paraId="48A9C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572" w:type="dxa"/>
            <w:vAlign w:val="center"/>
          </w:tcPr>
          <w:p w14:paraId="1016B4CA">
            <w:pPr>
              <w:pStyle w:val="254"/>
              <w:numPr>
                <w:ilvl w:val="0"/>
                <w:numId w:val="9"/>
              </w:numPr>
              <w:snapToGrid/>
              <w:spacing w:line="276" w:lineRule="auto"/>
              <w:ind w:firstLine="459"/>
              <w:contextualSpacing/>
              <w:jc w:val="center"/>
              <w:rPr>
                <w:rFonts w:hint="eastAsia" w:ascii="仿宋" w:hAnsi="仿宋" w:eastAsia="仿宋" w:cs="仿宋"/>
                <w:color w:val="auto"/>
                <w:sz w:val="21"/>
                <w:szCs w:val="21"/>
                <w:lang w:eastAsia="zh-CN"/>
              </w:rPr>
            </w:pPr>
          </w:p>
        </w:tc>
        <w:tc>
          <w:tcPr>
            <w:tcW w:w="851" w:type="dxa"/>
            <w:vAlign w:val="center"/>
          </w:tcPr>
          <w:p w14:paraId="0091FEA6">
            <w:pPr>
              <w:pStyle w:val="254"/>
              <w:spacing w:before="147" w:line="360" w:lineRule="auto"/>
              <w:rPr>
                <w:rFonts w:hint="eastAsia" w:ascii="仿宋" w:hAnsi="仿宋" w:eastAsia="仿宋" w:cs="仿宋"/>
                <w:snapToGrid/>
                <w:color w:val="auto"/>
                <w:sz w:val="21"/>
                <w:szCs w:val="21"/>
                <w:lang w:eastAsia="zh-CN"/>
              </w:rPr>
            </w:pPr>
            <w:r>
              <w:rPr>
                <w:rFonts w:hint="eastAsia" w:ascii="仿宋" w:hAnsi="仿宋" w:eastAsia="仿宋" w:cs="仿宋"/>
                <w:snapToGrid/>
                <w:color w:val="auto"/>
                <w:sz w:val="21"/>
                <w:szCs w:val="21"/>
                <w:lang w:eastAsia="zh-CN"/>
              </w:rPr>
              <w:t>项目验收安排</w:t>
            </w:r>
          </w:p>
        </w:tc>
        <w:tc>
          <w:tcPr>
            <w:tcW w:w="6893" w:type="dxa"/>
            <w:vAlign w:val="center"/>
          </w:tcPr>
          <w:p w14:paraId="3CCEE725">
            <w:pPr>
              <w:pStyle w:val="254"/>
              <w:kinsoku/>
              <w:spacing w:before="147" w:line="360" w:lineRule="auto"/>
              <w:rPr>
                <w:rFonts w:hint="eastAsia" w:ascii="仿宋" w:hAnsi="仿宋" w:eastAsia="仿宋" w:cs="仿宋"/>
                <w:snapToGrid/>
                <w:color w:val="auto"/>
                <w:sz w:val="21"/>
                <w:szCs w:val="21"/>
                <w:lang w:eastAsia="zh-CN"/>
              </w:rPr>
            </w:pPr>
            <w:r>
              <w:rPr>
                <w:rFonts w:hint="eastAsia" w:ascii="仿宋" w:hAnsi="仿宋" w:eastAsia="仿宋" w:cs="仿宋"/>
                <w:snapToGrid/>
                <w:color w:val="auto"/>
                <w:sz w:val="21"/>
                <w:szCs w:val="21"/>
                <w:lang w:eastAsia="zh-CN"/>
              </w:rPr>
              <w:t>制订完备的验收方案和验收计划、严格按照验收计划执行验收过程，提交准确完整的验收报告，同时保存好验收相关文档。</w:t>
            </w:r>
          </w:p>
        </w:tc>
      </w:tr>
      <w:tr w14:paraId="350682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72" w:type="dxa"/>
            <w:vAlign w:val="center"/>
          </w:tcPr>
          <w:p w14:paraId="73686928">
            <w:pPr>
              <w:pStyle w:val="254"/>
              <w:numPr>
                <w:ilvl w:val="0"/>
                <w:numId w:val="9"/>
              </w:numPr>
              <w:snapToGrid/>
              <w:spacing w:line="276" w:lineRule="auto"/>
              <w:ind w:firstLine="459"/>
              <w:contextualSpacing/>
              <w:jc w:val="center"/>
              <w:rPr>
                <w:rFonts w:hint="eastAsia" w:ascii="仿宋" w:hAnsi="仿宋" w:eastAsia="仿宋" w:cs="仿宋"/>
                <w:color w:val="auto"/>
                <w:sz w:val="21"/>
                <w:szCs w:val="21"/>
                <w:lang w:eastAsia="zh-CN"/>
              </w:rPr>
            </w:pPr>
          </w:p>
        </w:tc>
        <w:tc>
          <w:tcPr>
            <w:tcW w:w="851" w:type="dxa"/>
            <w:vAlign w:val="center"/>
          </w:tcPr>
          <w:p w14:paraId="2500031A">
            <w:pPr>
              <w:pStyle w:val="254"/>
              <w:spacing w:before="147" w:line="360" w:lineRule="auto"/>
              <w:rPr>
                <w:rFonts w:hint="eastAsia" w:ascii="仿宋" w:hAnsi="仿宋" w:eastAsia="仿宋" w:cs="仿宋"/>
                <w:snapToGrid/>
                <w:color w:val="auto"/>
                <w:sz w:val="21"/>
                <w:szCs w:val="21"/>
                <w:lang w:eastAsia="zh-CN"/>
              </w:rPr>
            </w:pPr>
            <w:r>
              <w:rPr>
                <w:rFonts w:hint="eastAsia" w:ascii="仿宋" w:hAnsi="仿宋" w:eastAsia="仿宋" w:cs="仿宋"/>
                <w:snapToGrid/>
                <w:color w:val="auto"/>
                <w:sz w:val="21"/>
                <w:szCs w:val="21"/>
                <w:lang w:eastAsia="zh-CN"/>
              </w:rPr>
              <w:t>项目培训安排</w:t>
            </w:r>
          </w:p>
        </w:tc>
        <w:tc>
          <w:tcPr>
            <w:tcW w:w="6893" w:type="dxa"/>
            <w:vAlign w:val="center"/>
          </w:tcPr>
          <w:p w14:paraId="7B2B7466">
            <w:pPr>
              <w:pStyle w:val="254"/>
              <w:spacing w:before="147" w:line="360" w:lineRule="auto"/>
              <w:rPr>
                <w:rFonts w:hint="eastAsia" w:ascii="仿宋" w:hAnsi="仿宋" w:eastAsia="仿宋" w:cs="仿宋"/>
                <w:snapToGrid/>
                <w:color w:val="auto"/>
                <w:sz w:val="21"/>
                <w:szCs w:val="21"/>
                <w:lang w:eastAsia="zh-CN"/>
              </w:rPr>
            </w:pPr>
            <w:r>
              <w:rPr>
                <w:rFonts w:hint="eastAsia" w:ascii="仿宋" w:hAnsi="仿宋" w:eastAsia="仿宋" w:cs="仿宋"/>
                <w:snapToGrid/>
                <w:color w:val="auto"/>
                <w:sz w:val="21"/>
                <w:szCs w:val="21"/>
                <w:lang w:eastAsia="zh-CN"/>
              </w:rPr>
              <w:t>投标人需制定系统的培训方案，并为所培训人员提供培训资料。</w:t>
            </w:r>
          </w:p>
        </w:tc>
      </w:tr>
    </w:tbl>
    <w:p w14:paraId="1524C9BA">
      <w:pPr>
        <w:snapToGrid w:val="0"/>
        <w:spacing w:line="360" w:lineRule="auto"/>
        <w:ind w:firstLine="480" w:firstLineChars="200"/>
        <w:rPr>
          <w:rFonts w:hint="eastAsia" w:ascii="仿宋" w:hAnsi="仿宋" w:eastAsia="仿宋" w:cs="仿宋"/>
          <w:bCs/>
          <w:color w:val="auto"/>
          <w:sz w:val="24"/>
        </w:rPr>
      </w:pPr>
    </w:p>
    <w:p w14:paraId="46B58E91">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2、采购标的需满足的服务标准、期限、效率等要求；</w:t>
      </w:r>
    </w:p>
    <w:p w14:paraId="28A1A619">
      <w:pPr>
        <w:spacing w:line="360" w:lineRule="auto"/>
        <w:ind w:firstLine="482" w:firstLineChars="200"/>
        <w:contextualSpacing/>
        <w:rPr>
          <w:rFonts w:hint="eastAsia" w:ascii="仿宋" w:hAnsi="仿宋" w:eastAsia="仿宋" w:cs="仿宋"/>
          <w:b/>
          <w:color w:val="auto"/>
          <w:sz w:val="24"/>
        </w:rPr>
      </w:pPr>
      <w:r>
        <w:rPr>
          <w:rFonts w:hint="eastAsia" w:ascii="仿宋" w:hAnsi="仿宋" w:eastAsia="仿宋" w:cs="仿宋"/>
          <w:b/>
          <w:color w:val="auto"/>
          <w:sz w:val="24"/>
        </w:rPr>
        <w:t>2.1、采购标的需满足的服务标准、效率要求</w:t>
      </w:r>
    </w:p>
    <w:p w14:paraId="5B1D6286">
      <w:pPr>
        <w:spacing w:line="360" w:lineRule="auto"/>
        <w:ind w:firstLine="480" w:firstLineChars="200"/>
        <w:contextualSpacing/>
        <w:rPr>
          <w:rFonts w:hint="eastAsia" w:ascii="仿宋" w:hAnsi="仿宋" w:eastAsia="仿宋" w:cs="仿宋"/>
          <w:bCs/>
          <w:color w:val="auto"/>
          <w:sz w:val="24"/>
        </w:rPr>
      </w:pPr>
      <w:bookmarkStart w:id="16" w:name="OLE_LINK76"/>
      <w:r>
        <w:rPr>
          <w:rFonts w:hint="eastAsia" w:ascii="仿宋" w:hAnsi="仿宋" w:eastAsia="仿宋" w:cs="仿宋"/>
          <w:bCs/>
          <w:color w:val="auto"/>
          <w:sz w:val="24"/>
        </w:rPr>
        <w:t>2.2.1由于机房设备重要性高且使用要求严格，投标人需承诺为本项目所有设备提供以下（1）-（3）服务内容（提供承诺函，格式自拟）：</w:t>
      </w:r>
    </w:p>
    <w:p w14:paraId="1E7285C9">
      <w:pPr>
        <w:spacing w:line="360" w:lineRule="auto"/>
        <w:ind w:left="420"/>
        <w:contextualSpacing/>
        <w:rPr>
          <w:rFonts w:hint="eastAsia" w:ascii="仿宋" w:hAnsi="仿宋" w:eastAsia="仿宋" w:cs="仿宋"/>
          <w:bCs/>
          <w:color w:val="auto"/>
          <w:sz w:val="24"/>
        </w:rPr>
      </w:pPr>
      <w:r>
        <w:rPr>
          <w:rFonts w:hint="eastAsia" w:ascii="仿宋" w:hAnsi="仿宋" w:eastAsia="仿宋" w:cs="仿宋"/>
          <w:bCs/>
          <w:color w:val="auto"/>
          <w:sz w:val="24"/>
        </w:rPr>
        <w:t>（1）提供不少于3年质保服务；</w:t>
      </w:r>
    </w:p>
    <w:p w14:paraId="33943BF0">
      <w:pPr>
        <w:spacing w:line="360" w:lineRule="auto"/>
        <w:ind w:left="420"/>
        <w:contextualSpacing/>
        <w:rPr>
          <w:rFonts w:hint="eastAsia" w:ascii="仿宋" w:hAnsi="仿宋" w:eastAsia="仿宋" w:cs="仿宋"/>
          <w:color w:val="auto"/>
          <w:sz w:val="24"/>
        </w:rPr>
      </w:pPr>
      <w:r>
        <w:rPr>
          <w:rFonts w:hint="eastAsia" w:ascii="仿宋" w:hAnsi="仿宋" w:eastAsia="仿宋" w:cs="仿宋"/>
          <w:bCs/>
          <w:color w:val="auto"/>
          <w:sz w:val="24"/>
        </w:rPr>
        <w:t>（2）提供每周7×24小时技术服务；</w:t>
      </w:r>
    </w:p>
    <w:p w14:paraId="17787920">
      <w:pPr>
        <w:tabs>
          <w:tab w:val="left" w:pos="900"/>
        </w:tabs>
        <w:adjustRightInd w:val="0"/>
        <w:spacing w:line="360" w:lineRule="auto"/>
        <w:ind w:firstLine="480" w:firstLineChars="200"/>
        <w:contextualSpacing/>
        <w:rPr>
          <w:rFonts w:hint="eastAsia" w:ascii="仿宋" w:hAnsi="仿宋" w:eastAsia="仿宋" w:cs="仿宋"/>
          <w:bCs/>
          <w:color w:val="auto"/>
          <w:sz w:val="24"/>
        </w:rPr>
      </w:pPr>
      <w:r>
        <w:rPr>
          <w:rFonts w:hint="eastAsia" w:ascii="仿宋" w:hAnsi="仿宋" w:eastAsia="仿宋" w:cs="仿宋"/>
          <w:bCs/>
          <w:color w:val="auto"/>
          <w:sz w:val="24"/>
        </w:rPr>
        <w:t>（3）质保期内若发生故障，工程师10分钟内响应，4小时内到达现场，12小时内排除故障；</w:t>
      </w:r>
      <w:bookmarkEnd w:id="16"/>
    </w:p>
    <w:p w14:paraId="251D6E54">
      <w:pPr>
        <w:pStyle w:val="6"/>
        <w:spacing w:line="360" w:lineRule="auto"/>
        <w:rPr>
          <w:rFonts w:hint="eastAsia" w:ascii="仿宋" w:hAnsi="仿宋" w:eastAsia="仿宋" w:cs="仿宋"/>
          <w:bCs/>
          <w:color w:val="auto"/>
        </w:rPr>
      </w:pPr>
      <w:r>
        <w:rPr>
          <w:rFonts w:hint="eastAsia" w:ascii="仿宋" w:hAnsi="仿宋" w:eastAsia="仿宋" w:cs="仿宋"/>
          <w:bCs/>
          <w:color w:val="auto"/>
        </w:rPr>
        <w:t>（4）投标人需提供售后服务方案，方案内容包括但不限于：1.售后服务范围与内容、2.售后服务方式、3.售后服务响应计划、4.故障处理与保障等详细售后服务。</w:t>
      </w:r>
    </w:p>
    <w:p w14:paraId="5E73381E">
      <w:pPr>
        <w:tabs>
          <w:tab w:val="left" w:pos="900"/>
        </w:tabs>
        <w:spacing w:line="360" w:lineRule="auto"/>
        <w:ind w:firstLine="480" w:firstLineChars="200"/>
        <w:contextualSpacing/>
        <w:rPr>
          <w:rFonts w:hint="eastAsia" w:ascii="仿宋" w:hAnsi="仿宋" w:eastAsia="仿宋" w:cs="仿宋"/>
          <w:color w:val="auto"/>
          <w:sz w:val="24"/>
        </w:rPr>
      </w:pPr>
      <w:r>
        <w:rPr>
          <w:rFonts w:hint="eastAsia" w:ascii="仿宋" w:hAnsi="仿宋" w:eastAsia="仿宋" w:cs="仿宋"/>
          <w:color w:val="auto"/>
          <w:sz w:val="24"/>
        </w:rPr>
        <w:t>2.2.2、其他要求：</w:t>
      </w:r>
    </w:p>
    <w:p w14:paraId="073E5895">
      <w:pPr>
        <w:tabs>
          <w:tab w:val="left" w:pos="900"/>
        </w:tabs>
        <w:spacing w:line="360" w:lineRule="auto"/>
        <w:ind w:firstLine="480" w:firstLineChars="200"/>
        <w:contextualSpacing/>
        <w:rPr>
          <w:rFonts w:hint="eastAsia" w:ascii="仿宋" w:hAnsi="仿宋" w:eastAsia="仿宋" w:cs="仿宋"/>
          <w:color w:val="auto"/>
          <w:sz w:val="24"/>
          <w:highlight w:val="yellow"/>
        </w:rPr>
      </w:pPr>
      <w:r>
        <w:rPr>
          <w:rFonts w:hint="eastAsia" w:ascii="仿宋" w:hAnsi="仿宋" w:eastAsia="仿宋" w:cs="仿宋"/>
          <w:color w:val="auto"/>
          <w:sz w:val="24"/>
        </w:rPr>
        <w:t>2.2.2.1、拟投入项目经理</w:t>
      </w:r>
      <w:r>
        <w:rPr>
          <w:rFonts w:hint="eastAsia" w:ascii="仿宋" w:hAnsi="仿宋" w:eastAsia="仿宋" w:cs="仿宋"/>
          <w:color w:val="auto"/>
          <w:sz w:val="24"/>
          <w:highlight w:val="none"/>
        </w:rPr>
        <w:t>具有信息系统项目管理师证书</w:t>
      </w:r>
      <w:r>
        <w:rPr>
          <w:rFonts w:hint="eastAsia" w:ascii="仿宋" w:hAnsi="仿宋" w:eastAsia="仿宋" w:cs="仿宋"/>
          <w:color w:val="auto"/>
          <w:kern w:val="0"/>
          <w:sz w:val="24"/>
          <w:highlight w:val="none"/>
        </w:rPr>
        <w:t>。</w:t>
      </w:r>
    </w:p>
    <w:p w14:paraId="26188055">
      <w:pPr>
        <w:pStyle w:val="6"/>
        <w:spacing w:line="360" w:lineRule="auto"/>
        <w:contextualSpacing/>
        <w:rPr>
          <w:rFonts w:hint="eastAsia" w:ascii="仿宋" w:hAnsi="仿宋" w:eastAsia="仿宋" w:cs="仿宋"/>
          <w:color w:val="auto"/>
        </w:rPr>
      </w:pPr>
      <w:r>
        <w:rPr>
          <w:rFonts w:hint="eastAsia" w:ascii="仿宋" w:hAnsi="仿宋" w:eastAsia="仿宋" w:cs="仿宋"/>
          <w:color w:val="auto"/>
        </w:rPr>
        <w:t>2.2.2.2、投标人需对采购人需求有正确全面的理解，了解系统建设现状，对本项目的背景、目标、原则理解准确，对工作内容分析透彻合理。</w:t>
      </w:r>
    </w:p>
    <w:p w14:paraId="4F63EFFD">
      <w:pPr>
        <w:pStyle w:val="6"/>
        <w:spacing w:line="360" w:lineRule="auto"/>
        <w:contextualSpacing/>
        <w:rPr>
          <w:rFonts w:hint="eastAsia" w:ascii="仿宋" w:hAnsi="仿宋" w:eastAsia="仿宋" w:cs="仿宋"/>
          <w:bCs/>
          <w:color w:val="auto"/>
          <w:kern w:val="0"/>
          <w:szCs w:val="21"/>
          <w:highlight w:val="yellow"/>
        </w:rPr>
      </w:pPr>
      <w:r>
        <w:rPr>
          <w:rFonts w:hint="eastAsia" w:ascii="仿宋" w:hAnsi="仿宋" w:eastAsia="仿宋" w:cs="仿宋"/>
          <w:color w:val="auto"/>
        </w:rPr>
        <w:t>2.2.2.3、</w:t>
      </w:r>
      <w:r>
        <w:rPr>
          <w:rFonts w:hint="eastAsia" w:ascii="仿宋" w:hAnsi="仿宋" w:eastAsia="仿宋" w:cs="仿宋"/>
          <w:color w:val="auto"/>
          <w:highlight w:val="none"/>
        </w:rPr>
        <w:t>投标人需提供项目实施方案，</w:t>
      </w:r>
      <w:r>
        <w:rPr>
          <w:rFonts w:hint="eastAsia" w:ascii="仿宋" w:hAnsi="仿宋" w:eastAsia="仿宋" w:cs="仿宋"/>
          <w:bCs/>
          <w:color w:val="auto"/>
          <w:kern w:val="0"/>
          <w:szCs w:val="21"/>
          <w:highlight w:val="none"/>
        </w:rPr>
        <w:t>方案须包含以下内容：</w:t>
      </w:r>
      <w:r>
        <w:rPr>
          <w:rFonts w:hint="eastAsia" w:ascii="仿宋" w:hAnsi="仿宋" w:eastAsia="仿宋" w:cs="仿宋"/>
          <w:bCs/>
          <w:kern w:val="0"/>
          <w:szCs w:val="21"/>
          <w:highlight w:val="none"/>
          <w:lang w:val="en-US" w:eastAsia="zh-CN"/>
        </w:rPr>
        <w:t>①</w:t>
      </w:r>
      <w:r>
        <w:rPr>
          <w:rFonts w:hint="eastAsia" w:ascii="仿宋" w:hAnsi="仿宋" w:eastAsia="仿宋" w:cs="仿宋"/>
          <w:kern w:val="0"/>
          <w:highlight w:val="none"/>
        </w:rPr>
        <w:t>项目的理解与把控</w:t>
      </w:r>
      <w:r>
        <w:rPr>
          <w:rFonts w:hint="eastAsia" w:ascii="仿宋" w:hAnsi="仿宋" w:eastAsia="仿宋" w:cs="仿宋"/>
          <w:bCs/>
          <w:kern w:val="0"/>
          <w:szCs w:val="21"/>
          <w:highlight w:val="none"/>
        </w:rPr>
        <w:t>；</w:t>
      </w:r>
      <w:r>
        <w:rPr>
          <w:rFonts w:hint="eastAsia" w:ascii="仿宋" w:hAnsi="仿宋" w:eastAsia="仿宋" w:cs="仿宋"/>
          <w:bCs/>
          <w:kern w:val="0"/>
          <w:szCs w:val="21"/>
          <w:highlight w:val="none"/>
          <w:lang w:val="en-US" w:eastAsia="zh-CN"/>
        </w:rPr>
        <w:t>②整体实施</w:t>
      </w:r>
      <w:r>
        <w:rPr>
          <w:rFonts w:hint="eastAsia" w:ascii="仿宋" w:hAnsi="仿宋" w:eastAsia="仿宋" w:cs="仿宋"/>
          <w:bCs/>
          <w:kern w:val="0"/>
          <w:szCs w:val="21"/>
          <w:highlight w:val="none"/>
        </w:rPr>
        <w:t>进度计划；</w:t>
      </w:r>
      <w:r>
        <w:rPr>
          <w:rFonts w:hint="eastAsia" w:ascii="仿宋" w:hAnsi="仿宋" w:eastAsia="仿宋" w:cs="仿宋"/>
          <w:bCs/>
          <w:kern w:val="0"/>
          <w:szCs w:val="21"/>
          <w:highlight w:val="none"/>
          <w:lang w:val="en-US" w:eastAsia="zh-CN"/>
        </w:rPr>
        <w:t>③设备供货方案；</w:t>
      </w:r>
      <w:r>
        <w:rPr>
          <w:rFonts w:hint="eastAsia" w:ascii="仿宋" w:hAnsi="仿宋" w:eastAsia="仿宋" w:cs="仿宋"/>
          <w:kern w:val="0"/>
          <w:szCs w:val="21"/>
          <w:highlight w:val="none"/>
          <w:lang w:val="en-US" w:eastAsia="zh-CN"/>
        </w:rPr>
        <w:t>④安装调试方案</w:t>
      </w:r>
      <w:r>
        <w:rPr>
          <w:rFonts w:hint="eastAsia" w:ascii="仿宋" w:hAnsi="仿宋" w:eastAsia="仿宋" w:cs="仿宋"/>
          <w:bCs/>
          <w:kern w:val="0"/>
          <w:szCs w:val="21"/>
          <w:highlight w:val="none"/>
        </w:rPr>
        <w:t>；</w:t>
      </w:r>
      <w:r>
        <w:rPr>
          <w:rFonts w:hint="eastAsia" w:ascii="仿宋" w:hAnsi="仿宋" w:eastAsia="仿宋" w:cs="仿宋"/>
          <w:bCs/>
          <w:kern w:val="0"/>
          <w:szCs w:val="21"/>
          <w:highlight w:val="none"/>
          <w:lang w:val="en-US" w:eastAsia="zh-CN"/>
        </w:rPr>
        <w:t>⑤质量保障措施；⑥现场安全管控；⑦验收交付方案</w:t>
      </w:r>
      <w:r>
        <w:rPr>
          <w:rFonts w:hint="eastAsia" w:ascii="仿宋" w:hAnsi="仿宋" w:eastAsia="仿宋" w:cs="仿宋"/>
          <w:bCs/>
          <w:color w:val="auto"/>
          <w:kern w:val="0"/>
          <w:szCs w:val="21"/>
          <w:highlight w:val="none"/>
        </w:rPr>
        <w:t>。</w:t>
      </w:r>
    </w:p>
    <w:p w14:paraId="09B6EB2E">
      <w:pPr>
        <w:pStyle w:val="6"/>
        <w:spacing w:line="360" w:lineRule="auto"/>
        <w:ind w:firstLine="480" w:firstLineChars="200"/>
        <w:contextualSpacing/>
        <w:rPr>
          <w:rFonts w:hint="eastAsia" w:ascii="仿宋" w:hAnsi="仿宋" w:eastAsia="仿宋" w:cs="仿宋"/>
          <w:color w:val="auto"/>
        </w:rPr>
      </w:pPr>
      <w:r>
        <w:rPr>
          <w:rFonts w:hint="eastAsia" w:ascii="仿宋" w:hAnsi="仿宋" w:eastAsia="仿宋" w:cs="仿宋"/>
          <w:bCs/>
          <w:color w:val="auto"/>
          <w:kern w:val="0"/>
          <w:szCs w:val="21"/>
        </w:rPr>
        <w:t>2.2.2.4、投标人需提供设备集成方案。</w:t>
      </w:r>
    </w:p>
    <w:p w14:paraId="0AE2F32A">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eastAsia="zh-CN"/>
        </w:rPr>
        <w:t>、</w:t>
      </w:r>
      <w:r>
        <w:rPr>
          <w:rFonts w:hint="eastAsia" w:ascii="仿宋" w:hAnsi="仿宋" w:eastAsia="仿宋" w:cs="仿宋"/>
          <w:bCs/>
          <w:color w:val="auto"/>
          <w:sz w:val="24"/>
        </w:rPr>
        <w:t>本项目涉及的</w:t>
      </w:r>
      <w:r>
        <w:rPr>
          <w:rFonts w:hint="eastAsia" w:ascii="仿宋" w:hAnsi="仿宋" w:eastAsia="仿宋" w:cs="仿宋"/>
          <w:bCs/>
          <w:color w:val="auto"/>
          <w:sz w:val="24"/>
          <w:lang w:eastAsia="zh-CN"/>
        </w:rPr>
        <w:t>环境标志</w:t>
      </w:r>
      <w:r>
        <w:rPr>
          <w:rFonts w:hint="eastAsia" w:ascii="仿宋" w:hAnsi="仿宋" w:eastAsia="仿宋" w:cs="仿宋"/>
          <w:bCs/>
          <w:color w:val="auto"/>
          <w:sz w:val="24"/>
        </w:rPr>
        <w:t>产品有:应用服务器;数据库服务器;前置机</w:t>
      </w:r>
      <w:r>
        <w:rPr>
          <w:rFonts w:hint="eastAsia" w:ascii="仿宋" w:hAnsi="仿宋" w:eastAsia="仿宋" w:cs="仿宋"/>
          <w:bCs/>
          <w:color w:val="auto"/>
          <w:sz w:val="24"/>
          <w:highlight w:val="none"/>
        </w:rPr>
        <w:t>。</w:t>
      </w:r>
      <w:bookmarkStart w:id="21" w:name="_GoBack"/>
      <w:bookmarkEnd w:id="21"/>
    </w:p>
    <w:p w14:paraId="748FF33D">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4、采购标的的其他技术、服务等要求；</w:t>
      </w:r>
    </w:p>
    <w:p w14:paraId="2619C57D">
      <w:pPr>
        <w:snapToGrid w:val="0"/>
        <w:spacing w:line="360" w:lineRule="auto"/>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rPr>
        <w:t>4.1、技术证明支持材料</w:t>
      </w:r>
    </w:p>
    <w:p w14:paraId="32463AA9">
      <w:pPr>
        <w:snapToGrid w:val="0"/>
        <w:spacing w:line="360" w:lineRule="auto"/>
        <w:ind w:firstLine="480" w:firstLineChars="200"/>
        <w:rPr>
          <w:rFonts w:hint="eastAsia" w:ascii="仿宋" w:hAnsi="仿宋" w:eastAsia="仿宋" w:cs="仿宋"/>
          <w:bCs/>
          <w:color w:val="auto"/>
          <w:sz w:val="24"/>
        </w:rPr>
      </w:pPr>
      <w:bookmarkStart w:id="17" w:name="OLE_LINK200"/>
      <w:bookmarkStart w:id="18" w:name="OLE_LINK201"/>
      <w:r>
        <w:rPr>
          <w:rFonts w:hint="eastAsia" w:ascii="仿宋" w:hAnsi="仿宋" w:eastAsia="仿宋" w:cs="仿宋"/>
          <w:bCs/>
          <w:color w:val="auto"/>
          <w:sz w:val="24"/>
        </w:rPr>
        <w:t>4.1.</w:t>
      </w:r>
      <w:bookmarkEnd w:id="17"/>
      <w:bookmarkEnd w:id="18"/>
      <w:r>
        <w:rPr>
          <w:rFonts w:hint="eastAsia" w:ascii="仿宋" w:hAnsi="仿宋" w:eastAsia="仿宋" w:cs="仿宋"/>
          <w:bCs/>
          <w:color w:val="auto"/>
          <w:sz w:val="24"/>
        </w:rPr>
        <w:t>1、对于技术规格中标注“★”号的技术参数代表实质性指标，不满足该指标项将直接导致投标被拒绝。</w:t>
      </w:r>
    </w:p>
    <w:p w14:paraId="7DE1C7F1">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4.1.2、对于技术参数“是否提供证明材料”中标注“是”的技术参数，投标人须在投标文件中按照招标文件技术规格的要求提供技术应答的证明材料，如技术规格中无特殊要求则应根据实际情况如实响应。对于投标人提供的投标文件技术应答未按本条款要求提供投标产品技术支持资料（或证明材料）的，，并可认为该技术应答不符合招标文件要求。由此产生的评标风险，由投标人承担。</w:t>
      </w:r>
    </w:p>
    <w:p w14:paraId="47B89B77">
      <w:pPr>
        <w:snapToGrid w:val="0"/>
        <w:spacing w:line="360" w:lineRule="auto"/>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rPr>
        <w:t>4.2、供货及安装要求</w:t>
      </w:r>
      <w:r>
        <w:rPr>
          <w:rFonts w:hint="eastAsia" w:ascii="仿宋" w:hAnsi="仿宋" w:eastAsia="仿宋" w:cs="仿宋"/>
          <w:b/>
          <w:bCs/>
          <w:color w:val="auto"/>
          <w:sz w:val="24"/>
        </w:rPr>
        <w:tab/>
      </w:r>
    </w:p>
    <w:p w14:paraId="2A1560D4">
      <w:pPr>
        <w:snapToGrid w:val="0"/>
        <w:spacing w:line="360" w:lineRule="auto"/>
        <w:ind w:firstLine="480" w:firstLineChars="200"/>
        <w:rPr>
          <w:rFonts w:hint="eastAsia" w:ascii="仿宋" w:hAnsi="仿宋" w:eastAsia="仿宋" w:cs="仿宋"/>
          <w:bCs/>
          <w:color w:val="auto"/>
          <w:sz w:val="24"/>
        </w:rPr>
      </w:pPr>
      <w:bookmarkStart w:id="19" w:name="OLE_LINK202"/>
      <w:bookmarkStart w:id="20" w:name="OLE_LINK203"/>
      <w:r>
        <w:rPr>
          <w:rFonts w:hint="eastAsia" w:ascii="仿宋" w:hAnsi="仿宋" w:eastAsia="仿宋" w:cs="仿宋"/>
          <w:bCs/>
          <w:color w:val="auto"/>
          <w:sz w:val="24"/>
        </w:rPr>
        <w:t>4.2.1、</w:t>
      </w:r>
      <w:bookmarkEnd w:id="19"/>
      <w:bookmarkEnd w:id="20"/>
      <w:r>
        <w:rPr>
          <w:rFonts w:hint="eastAsia" w:ascii="仿宋" w:hAnsi="仿宋" w:eastAsia="仿宋" w:cs="仿宋"/>
          <w:bCs/>
          <w:color w:val="auto"/>
          <w:sz w:val="24"/>
        </w:rPr>
        <w:t>投标人发运货物时，每台设备要提供一整套中文的技术资料，包括安装、操作手册、使用说明、维修保养手册等，这些资料费应包括在投标报价内。如果采购人确认投标人提供的技术资料不完整或在运输过程中丢失，投标人需保证在收到采购人通知后3天内将这些资料免费寄给采购人。</w:t>
      </w:r>
    </w:p>
    <w:p w14:paraId="169144B4">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4.2.2、投标人应在保证在接到采购人通知的一周内，自付费用在采购人指定所在地对设备进行安装、调试和试运行，直到该产品的技术指标完全符合合同要求为止。投标人技术人员的费用，如：差旅费、住宿费等应计入投标报价。投标人安装人员应自备必要的专用工具、量具及调试用的材料等。</w:t>
      </w:r>
    </w:p>
    <w:p w14:paraId="2A757080">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4.2.3、投标人所提供的部件之间及设备之间的连线或接插件均视为设备内部部件，应包含在相应的配置中。</w:t>
      </w:r>
    </w:p>
    <w:p w14:paraId="536CB3CD">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4.2.4、工作条件：除了在技术规格中另有规定外，投标人提供的一切仪器、设备和系统，应符合下列条件：</w:t>
      </w:r>
    </w:p>
    <w:p w14:paraId="506AA82B">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1）仪器设备的插头要符合中国电工标准。如不符合，则应提供适合仪器插头的插座，必须要有接地。</w:t>
      </w:r>
    </w:p>
    <w:p w14:paraId="7CCE87EF">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2）如果仪器设备需特殊的工作条件（如：水、电源、磁场强度、特殊温度、湿度、震动强度等），投标人应在有关投标文件中加以说明。</w:t>
      </w:r>
    </w:p>
    <w:p w14:paraId="39D1F89E">
      <w:pPr>
        <w:snapToGrid w:val="0"/>
        <w:spacing w:line="360" w:lineRule="auto"/>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rPr>
        <w:t>4.3、培训要求：</w:t>
      </w:r>
    </w:p>
    <w:p w14:paraId="6FA3358C">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培训是指涉及产品基本原理、安装、调试、操作使用和保养维修等有关内容的学习。投标人应保证在采购人指定交货地点对每包（品目）最终用户设备操作人员提供不少于</w:t>
      </w:r>
      <w:r>
        <w:rPr>
          <w:rFonts w:hint="eastAsia" w:ascii="仿宋" w:hAnsi="仿宋" w:eastAsia="仿宋" w:cs="仿宋"/>
          <w:bCs/>
          <w:color w:val="auto"/>
          <w:sz w:val="24"/>
          <w:lang w:val="en-US" w:eastAsia="zh-CN"/>
        </w:rPr>
        <w:t>3</w:t>
      </w:r>
      <w:r>
        <w:rPr>
          <w:rFonts w:hint="eastAsia" w:ascii="仿宋" w:hAnsi="仿宋" w:eastAsia="仿宋" w:cs="仿宋"/>
          <w:bCs/>
          <w:color w:val="auto"/>
          <w:sz w:val="24"/>
        </w:rPr>
        <w:t>天的培训。投标人投标时应提供详细的培训方案（应包括对培训内容、培训对象、培训时间做出计划，包括培训时间、地点、人次、方式、预计培训结果等）。培训教员的差旅费、食宿费、培训教材等费用，应计入投标报价</w:t>
      </w: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不再向采购人收取额外费用</w:t>
      </w:r>
      <w:r>
        <w:rPr>
          <w:rFonts w:hint="eastAsia" w:ascii="仿宋" w:hAnsi="仿宋" w:eastAsia="仿宋" w:cs="仿宋"/>
          <w:bCs/>
          <w:color w:val="auto"/>
          <w:sz w:val="24"/>
        </w:rPr>
        <w:t>。（以各包技术规格中要求为准，如技术规格中无要求，则以本款要求为准。）</w:t>
      </w:r>
    </w:p>
    <w:p w14:paraId="3E0BE633">
      <w:pPr>
        <w:pStyle w:val="6"/>
        <w:rPr>
          <w:rFonts w:hint="eastAsia" w:ascii="仿宋" w:hAnsi="仿宋" w:eastAsia="仿宋" w:cs="仿宋"/>
          <w:color w:val="auto"/>
        </w:rPr>
      </w:pPr>
    </w:p>
    <w:p w14:paraId="42ABFCCA">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5、需由投标人提供设计方案、解决方案或者组织方案的采购项目，应当说明采购标的的功能、应用场景、目标等基本要求</w:t>
      </w:r>
    </w:p>
    <w:p w14:paraId="745BDADF">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无。</w:t>
      </w:r>
    </w:p>
    <w:p w14:paraId="3A67FB64">
      <w:pPr>
        <w:pStyle w:val="6"/>
        <w:rPr>
          <w:rFonts w:hint="eastAsia" w:ascii="仿宋" w:hAnsi="仿宋" w:eastAsia="仿宋" w:cs="仿宋"/>
          <w:color w:val="auto"/>
        </w:rPr>
      </w:pPr>
    </w:p>
    <w:p w14:paraId="6F3A150B">
      <w:pPr>
        <w:snapToGrid w:val="0"/>
        <w:spacing w:line="360" w:lineRule="auto"/>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rPr>
        <w:t>（三）验收标准</w:t>
      </w:r>
    </w:p>
    <w:p w14:paraId="25D088EE">
      <w:pPr>
        <w:tabs>
          <w:tab w:val="left" w:pos="900"/>
        </w:tabs>
        <w:spacing w:line="360" w:lineRule="auto"/>
        <w:ind w:firstLine="480" w:firstLineChars="200"/>
        <w:contextualSpacing/>
        <w:rPr>
          <w:rFonts w:hint="eastAsia" w:ascii="仿宋" w:hAnsi="仿宋" w:eastAsia="仿宋" w:cs="仿宋"/>
          <w:bCs/>
          <w:color w:val="auto"/>
          <w:sz w:val="24"/>
        </w:rPr>
      </w:pPr>
      <w:r>
        <w:rPr>
          <w:rFonts w:hint="eastAsia" w:ascii="仿宋" w:hAnsi="仿宋" w:eastAsia="仿宋" w:cs="仿宋"/>
          <w:bCs/>
          <w:color w:val="auto"/>
          <w:sz w:val="24"/>
        </w:rPr>
        <w:t>项目验收按照招标文件、合同执行，验收包含到货查验、安装分项、系统试运行、竣工终验四阶段，覆盖所有</w:t>
      </w:r>
      <w:r>
        <w:rPr>
          <w:rFonts w:hint="eastAsia" w:ascii="仿宋" w:hAnsi="仿宋" w:eastAsia="仿宋" w:cs="仿宋"/>
          <w:bCs/>
          <w:color w:val="auto"/>
          <w:sz w:val="24"/>
          <w:lang w:val="en-US" w:eastAsia="zh-CN"/>
        </w:rPr>
        <w:t>硬件</w:t>
      </w:r>
      <w:r>
        <w:rPr>
          <w:rFonts w:hint="eastAsia" w:ascii="仿宋" w:hAnsi="仿宋" w:eastAsia="仿宋" w:cs="仿宋"/>
          <w:bCs/>
          <w:color w:val="auto"/>
          <w:sz w:val="24"/>
        </w:rPr>
        <w:t>设备、软件及集成功能，到货核对型号资质，安装检查施工工艺，试运行测试等全部功能，验收不合格由中标单位免费整改并承担全部费用，未通过终验采购人可暂缓付款，完整移交全套竣工资料后方可完成验收。</w:t>
      </w:r>
    </w:p>
    <w:bookmarkEnd w:id="1"/>
    <w:bookmarkEnd w:id="2"/>
    <w:bookmarkEnd w:id="3"/>
    <w:bookmarkEnd w:id="4"/>
    <w:bookmarkEnd w:id="5"/>
    <w:bookmarkEnd w:id="6"/>
    <w:bookmarkEnd w:id="7"/>
    <w:bookmarkEnd w:id="8"/>
    <w:bookmarkEnd w:id="9"/>
    <w:bookmarkEnd w:id="10"/>
    <w:bookmarkEnd w:id="11"/>
    <w:bookmarkEnd w:id="12"/>
    <w:bookmarkEnd w:id="13"/>
    <w:bookmarkEnd w:id="14"/>
    <w:p w14:paraId="7EACB768">
      <w:pPr>
        <w:widowControl/>
        <w:jc w:val="left"/>
        <w:rPr>
          <w:b/>
          <w:sz w:val="36"/>
          <w:szCs w:val="36"/>
          <w:highlight w:val="none"/>
        </w:rPr>
      </w:pPr>
    </w:p>
    <w:sectPr>
      <w:headerReference r:id="rId3" w:type="default"/>
      <w:footerReference r:id="rId4" w:type="default"/>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Microsoft YaHei UI">
    <w:altName w:val="宋体"/>
    <w:panose1 w:val="020B0503020204020204"/>
    <w:charset w:val="86"/>
    <w:family w:val="swiss"/>
    <w:pitch w:val="default"/>
    <w:sig w:usb0="00000000" w:usb1="00000000" w:usb2="00000016" w:usb3="00000000" w:csb0="0004001F" w:csb1="00000000"/>
  </w:font>
  <w:font w:name="......_.">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508949"/>
      <w:docPartObj>
        <w:docPartGallery w:val="autotext"/>
      </w:docPartObj>
    </w:sdtPr>
    <w:sdtContent>
      <w:p w14:paraId="225F0684">
        <w:pPr>
          <w:pStyle w:val="29"/>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61</w:t>
        </w:r>
        <w:r>
          <w:rPr>
            <w:rFonts w:ascii="Times New Roma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54A26">
    <w:pPr>
      <w:pStyle w:val="30"/>
      <w:jc w:val="right"/>
    </w:pPr>
    <w:r>
      <w:rPr>
        <w:rFonts w:hint="eastAsia"/>
      </w:rPr>
      <w:t>北京市政府</w:t>
    </w:r>
    <w:r>
      <w:t>采购</w:t>
    </w:r>
    <w:r>
      <w:rPr>
        <w:rFonts w:hint="eastAsia"/>
      </w:rPr>
      <w:t>项目公开招标文件示范文本</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pStyle w:val="90"/>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D"/>
    <w:multiLevelType w:val="multilevel"/>
    <w:tmpl w:val="0000000D"/>
    <w:lvl w:ilvl="0" w:tentative="0">
      <w:start w:val="1"/>
      <w:numFmt w:val="lowerLetter"/>
      <w:pStyle w:val="164"/>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2">
    <w:nsid w:val="00000013"/>
    <w:multiLevelType w:val="singleLevel"/>
    <w:tmpl w:val="00000013"/>
    <w:lvl w:ilvl="0" w:tentative="0">
      <w:start w:val="1"/>
      <w:numFmt w:val="decimal"/>
      <w:pStyle w:val="134"/>
      <w:lvlText w:val="%1."/>
      <w:lvlJc w:val="left"/>
      <w:pPr>
        <w:tabs>
          <w:tab w:val="left" w:pos="360"/>
        </w:tabs>
        <w:ind w:left="360" w:hanging="360"/>
      </w:pPr>
      <w:rPr>
        <w:rFonts w:hint="default"/>
      </w:rPr>
    </w:lvl>
  </w:abstractNum>
  <w:abstractNum w:abstractNumId="3">
    <w:nsid w:val="0000001D"/>
    <w:multiLevelType w:val="singleLevel"/>
    <w:tmpl w:val="0000001D"/>
    <w:lvl w:ilvl="0" w:tentative="0">
      <w:start w:val="1"/>
      <w:numFmt w:val="decimal"/>
      <w:suff w:val="nothing"/>
      <w:lvlText w:val="%1．"/>
      <w:lvlJc w:val="left"/>
      <w:pPr>
        <w:ind w:left="-210" w:firstLine="400"/>
      </w:pPr>
      <w:rPr>
        <w:rFonts w:hint="default"/>
      </w:rPr>
    </w:lvl>
  </w:abstractNum>
  <w:abstractNum w:abstractNumId="4">
    <w:nsid w:val="00000026"/>
    <w:multiLevelType w:val="multilevel"/>
    <w:tmpl w:val="00000026"/>
    <w:lvl w:ilvl="0" w:tentative="0">
      <w:start w:val="1"/>
      <w:numFmt w:val="decimal"/>
      <w:pStyle w:val="84"/>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3"/>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20"/>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9"/>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8"/>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40"/>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4"/>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5">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2"/>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6">
    <w:nsid w:val="0000002F"/>
    <w:multiLevelType w:val="multilevel"/>
    <w:tmpl w:val="0000002F"/>
    <w:lvl w:ilvl="0" w:tentative="0">
      <w:start w:val="1"/>
      <w:numFmt w:val="decimal"/>
      <w:pStyle w:val="89"/>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E230849"/>
    <w:multiLevelType w:val="multilevel"/>
    <w:tmpl w:val="0E230849"/>
    <w:lvl w:ilvl="0" w:tentative="0">
      <w:start w:val="1"/>
      <w:numFmt w:val="decimal"/>
      <w:pStyle w:val="192"/>
      <w:lvlText w:val="%1"/>
      <w:lvlJc w:val="left"/>
      <w:pPr>
        <w:ind w:left="680" w:hanging="680"/>
      </w:pPr>
      <w:rPr>
        <w:rFonts w:hint="eastAsia" w:ascii="宋体" w:hAnsi="宋体" w:eastAsia="宋体"/>
      </w:rPr>
    </w:lvl>
    <w:lvl w:ilvl="1" w:tentative="0">
      <w:start w:val="1"/>
      <w:numFmt w:val="decimal"/>
      <w:pStyle w:val="193"/>
      <w:lvlText w:val="%1.%2"/>
      <w:lvlJc w:val="left"/>
      <w:pPr>
        <w:ind w:left="851" w:hanging="851"/>
      </w:pPr>
      <w:rPr>
        <w:rFonts w:hint="eastAsia" w:ascii="宋体" w:hAnsi="宋体" w:eastAsia="宋体"/>
        <w:color w:val="auto"/>
      </w:rPr>
    </w:lvl>
    <w:lvl w:ilvl="2" w:tentative="0">
      <w:start w:val="1"/>
      <w:numFmt w:val="decimal"/>
      <w:pStyle w:val="194"/>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8">
    <w:nsid w:val="7AD070A9"/>
    <w:multiLevelType w:val="singleLevel"/>
    <w:tmpl w:val="7AD070A9"/>
    <w:lvl w:ilvl="0" w:tentative="0">
      <w:start w:val="4"/>
      <w:numFmt w:val="decimal"/>
      <w:suff w:val="nothing"/>
      <w:lvlText w:val="（%1）"/>
      <w:lvlJc w:val="left"/>
    </w:lvl>
  </w:abstractNum>
  <w:num w:numId="1">
    <w:abstractNumId w:val="4"/>
  </w:num>
  <w:num w:numId="2">
    <w:abstractNumId w:val="6"/>
  </w:num>
  <w:num w:numId="3">
    <w:abstractNumId w:val="0"/>
  </w:num>
  <w:num w:numId="4">
    <w:abstractNumId w:val="5"/>
  </w:num>
  <w:num w:numId="5">
    <w:abstractNumId w:val="2"/>
  </w:num>
  <w:num w:numId="6">
    <w:abstractNumId w:val="1"/>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93E"/>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437"/>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6E6B"/>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137E25"/>
    <w:rsid w:val="01D9735E"/>
    <w:rsid w:val="023366E7"/>
    <w:rsid w:val="026072D4"/>
    <w:rsid w:val="03767CC1"/>
    <w:rsid w:val="038D16A3"/>
    <w:rsid w:val="03EE22D8"/>
    <w:rsid w:val="04B844FD"/>
    <w:rsid w:val="05A70E19"/>
    <w:rsid w:val="07602689"/>
    <w:rsid w:val="07F2105E"/>
    <w:rsid w:val="0867034E"/>
    <w:rsid w:val="088E3EF3"/>
    <w:rsid w:val="09622B61"/>
    <w:rsid w:val="09AF5ECF"/>
    <w:rsid w:val="0ACB4079"/>
    <w:rsid w:val="0B660C1A"/>
    <w:rsid w:val="0D1E13DB"/>
    <w:rsid w:val="0DC61E68"/>
    <w:rsid w:val="0F4112F6"/>
    <w:rsid w:val="0FAD3E26"/>
    <w:rsid w:val="10ED5EA9"/>
    <w:rsid w:val="11A958FA"/>
    <w:rsid w:val="11FD49D4"/>
    <w:rsid w:val="1252316A"/>
    <w:rsid w:val="133B3DEC"/>
    <w:rsid w:val="14A76E37"/>
    <w:rsid w:val="15BC4CD5"/>
    <w:rsid w:val="15F24EBE"/>
    <w:rsid w:val="163C75C3"/>
    <w:rsid w:val="16A93786"/>
    <w:rsid w:val="17CD796A"/>
    <w:rsid w:val="17F93E0B"/>
    <w:rsid w:val="19E461E8"/>
    <w:rsid w:val="1B7F4DA6"/>
    <w:rsid w:val="1C455CA5"/>
    <w:rsid w:val="1CA92C52"/>
    <w:rsid w:val="1D2C69D2"/>
    <w:rsid w:val="1E0F2530"/>
    <w:rsid w:val="21DC779A"/>
    <w:rsid w:val="230543F3"/>
    <w:rsid w:val="239E00B4"/>
    <w:rsid w:val="24084702"/>
    <w:rsid w:val="251E74A4"/>
    <w:rsid w:val="253D08D1"/>
    <w:rsid w:val="27843CE5"/>
    <w:rsid w:val="27985E53"/>
    <w:rsid w:val="29B01C67"/>
    <w:rsid w:val="2A663E82"/>
    <w:rsid w:val="2F022D29"/>
    <w:rsid w:val="320D3F86"/>
    <w:rsid w:val="323B6405"/>
    <w:rsid w:val="32B67A1F"/>
    <w:rsid w:val="32EB653A"/>
    <w:rsid w:val="33F23579"/>
    <w:rsid w:val="35C34FFF"/>
    <w:rsid w:val="35C802BA"/>
    <w:rsid w:val="38312021"/>
    <w:rsid w:val="38797524"/>
    <w:rsid w:val="388567F5"/>
    <w:rsid w:val="3AD450E3"/>
    <w:rsid w:val="3BCB6780"/>
    <w:rsid w:val="3C266089"/>
    <w:rsid w:val="3C3E7BEA"/>
    <w:rsid w:val="42CD0A98"/>
    <w:rsid w:val="431A0C09"/>
    <w:rsid w:val="4324394E"/>
    <w:rsid w:val="466B2BA2"/>
    <w:rsid w:val="476B2426"/>
    <w:rsid w:val="480E2158"/>
    <w:rsid w:val="48AA5D30"/>
    <w:rsid w:val="491B4EE1"/>
    <w:rsid w:val="493F52F0"/>
    <w:rsid w:val="4A6F5CAB"/>
    <w:rsid w:val="4B65373A"/>
    <w:rsid w:val="4BD1244C"/>
    <w:rsid w:val="4D00163A"/>
    <w:rsid w:val="4DB66256"/>
    <w:rsid w:val="4E473EF5"/>
    <w:rsid w:val="4F0F5BE3"/>
    <w:rsid w:val="4FBA24A4"/>
    <w:rsid w:val="501D7EC5"/>
    <w:rsid w:val="511301BE"/>
    <w:rsid w:val="52422029"/>
    <w:rsid w:val="53DB14AF"/>
    <w:rsid w:val="54A613E2"/>
    <w:rsid w:val="55040901"/>
    <w:rsid w:val="56786C15"/>
    <w:rsid w:val="56DF05DE"/>
    <w:rsid w:val="57AD1BDA"/>
    <w:rsid w:val="57FC6189"/>
    <w:rsid w:val="59711069"/>
    <w:rsid w:val="5B1B222A"/>
    <w:rsid w:val="5B2353A2"/>
    <w:rsid w:val="5BC65328"/>
    <w:rsid w:val="5D4577C2"/>
    <w:rsid w:val="5D8147F5"/>
    <w:rsid w:val="5DBF0709"/>
    <w:rsid w:val="5DCF7A63"/>
    <w:rsid w:val="5DF46060"/>
    <w:rsid w:val="5DFD716B"/>
    <w:rsid w:val="5ED61EBE"/>
    <w:rsid w:val="5F073306"/>
    <w:rsid w:val="5F5F73B9"/>
    <w:rsid w:val="60BE5062"/>
    <w:rsid w:val="625A7574"/>
    <w:rsid w:val="62D52F10"/>
    <w:rsid w:val="64AF2172"/>
    <w:rsid w:val="66AA2E1B"/>
    <w:rsid w:val="67983821"/>
    <w:rsid w:val="6838144E"/>
    <w:rsid w:val="6885401A"/>
    <w:rsid w:val="68AA7398"/>
    <w:rsid w:val="68EB7EC3"/>
    <w:rsid w:val="69C60231"/>
    <w:rsid w:val="6AFC2CB3"/>
    <w:rsid w:val="6E737F96"/>
    <w:rsid w:val="6F140A2F"/>
    <w:rsid w:val="706F1FBD"/>
    <w:rsid w:val="707A0C11"/>
    <w:rsid w:val="71E20953"/>
    <w:rsid w:val="72FE6AD2"/>
    <w:rsid w:val="742C597A"/>
    <w:rsid w:val="74B32523"/>
    <w:rsid w:val="754A7391"/>
    <w:rsid w:val="76A87DC4"/>
    <w:rsid w:val="76EB1F03"/>
    <w:rsid w:val="76EF7457"/>
    <w:rsid w:val="78EA0F9F"/>
    <w:rsid w:val="797A667D"/>
    <w:rsid w:val="79B2027C"/>
    <w:rsid w:val="79DA2B97"/>
    <w:rsid w:val="7A3E05AB"/>
    <w:rsid w:val="7D0D4954"/>
    <w:rsid w:val="7E4C4244"/>
    <w:rsid w:val="7E550AD2"/>
    <w:rsid w:val="7FA426A6"/>
    <w:rsid w:val="7FD34806"/>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4"/>
    <w:link w:val="229"/>
    <w:qFormat/>
    <w:uiPriority w:val="0"/>
    <w:pPr>
      <w:keepNext/>
      <w:keepLines/>
      <w:autoSpaceDE w:val="0"/>
      <w:autoSpaceDN w:val="0"/>
      <w:adjustRightInd w:val="0"/>
      <w:spacing w:before="240" w:after="120" w:line="300" w:lineRule="auto"/>
      <w:jc w:val="center"/>
      <w:outlineLvl w:val="0"/>
    </w:pPr>
    <w:rPr>
      <w:rFonts w:ascii="宋体"/>
      <w:kern w:val="44"/>
      <w:sz w:val="32"/>
      <w:szCs w:val="20"/>
    </w:rPr>
  </w:style>
  <w:style w:type="paragraph" w:styleId="3">
    <w:name w:val="heading 2"/>
    <w:basedOn w:val="4"/>
    <w:next w:val="1"/>
    <w:link w:val="55"/>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5">
    <w:name w:val="heading 3"/>
    <w:basedOn w:val="1"/>
    <w:next w:val="6"/>
    <w:link w:val="57"/>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7">
    <w:name w:val="heading 4"/>
    <w:basedOn w:val="1"/>
    <w:next w:val="1"/>
    <w:link w:val="230"/>
    <w:qFormat/>
    <w:uiPriority w:val="0"/>
    <w:pPr>
      <w:keepNext/>
      <w:keepLines/>
      <w:adjustRightInd w:val="0"/>
      <w:spacing w:before="280" w:after="290" w:line="376" w:lineRule="atLeast"/>
      <w:textAlignment w:val="baseline"/>
      <w:outlineLvl w:val="3"/>
    </w:pPr>
    <w:rPr>
      <w:kern w:val="0"/>
      <w:sz w:val="24"/>
      <w:szCs w:val="20"/>
    </w:rPr>
  </w:style>
  <w:style w:type="paragraph" w:styleId="8">
    <w:name w:val="heading 5"/>
    <w:basedOn w:val="1"/>
    <w:next w:val="1"/>
    <w:link w:val="231"/>
    <w:qFormat/>
    <w:uiPriority w:val="0"/>
    <w:pPr>
      <w:keepNext/>
      <w:keepLines/>
      <w:adjustRightInd w:val="0"/>
      <w:spacing w:before="280" w:after="290" w:line="376" w:lineRule="atLeast"/>
      <w:textAlignment w:val="baseline"/>
      <w:outlineLvl w:val="4"/>
    </w:pPr>
    <w:rPr>
      <w:b/>
      <w:kern w:val="0"/>
      <w:sz w:val="28"/>
      <w:szCs w:val="20"/>
    </w:rPr>
  </w:style>
  <w:style w:type="paragraph" w:styleId="9">
    <w:name w:val="heading 6"/>
    <w:basedOn w:val="1"/>
    <w:next w:val="1"/>
    <w:link w:val="232"/>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0">
    <w:name w:val="heading 7"/>
    <w:basedOn w:val="1"/>
    <w:next w:val="1"/>
    <w:link w:val="233"/>
    <w:qFormat/>
    <w:uiPriority w:val="0"/>
    <w:pPr>
      <w:keepNext/>
      <w:keepLines/>
      <w:adjustRightInd w:val="0"/>
      <w:spacing w:before="240" w:after="64" w:line="320" w:lineRule="atLeast"/>
      <w:textAlignment w:val="baseline"/>
      <w:outlineLvl w:val="6"/>
    </w:pPr>
    <w:rPr>
      <w:b/>
      <w:kern w:val="0"/>
      <w:sz w:val="24"/>
      <w:szCs w:val="20"/>
    </w:rPr>
  </w:style>
  <w:style w:type="paragraph" w:styleId="11">
    <w:name w:val="heading 8"/>
    <w:basedOn w:val="1"/>
    <w:next w:val="1"/>
    <w:link w:val="234"/>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2">
    <w:name w:val="heading 9"/>
    <w:basedOn w:val="1"/>
    <w:next w:val="1"/>
    <w:link w:val="235"/>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6">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customStyle="1" w:styleId="4">
    <w:name w:val="文档正文"/>
    <w:basedOn w:val="1"/>
    <w:qFormat/>
    <w:uiPriority w:val="0"/>
    <w:pPr>
      <w:snapToGrid w:val="0"/>
      <w:spacing w:before="120" w:after="120" w:line="180" w:lineRule="auto"/>
    </w:pPr>
    <w:rPr>
      <w:rFonts w:ascii="Arial" w:hAnsi="Arial"/>
      <w:szCs w:val="20"/>
    </w:rPr>
  </w:style>
  <w:style w:type="paragraph" w:styleId="6">
    <w:name w:val="Normal Indent"/>
    <w:basedOn w:val="1"/>
    <w:link w:val="64"/>
    <w:qFormat/>
    <w:uiPriority w:val="0"/>
    <w:pPr>
      <w:autoSpaceDE w:val="0"/>
      <w:autoSpaceDN w:val="0"/>
      <w:adjustRightInd w:val="0"/>
      <w:ind w:firstLine="420"/>
      <w:jc w:val="left"/>
    </w:pPr>
    <w:rPr>
      <w:rFonts w:ascii="宋体"/>
      <w:sz w:val="24"/>
    </w:rPr>
  </w:style>
  <w:style w:type="paragraph" w:styleId="13">
    <w:name w:val="toc 7"/>
    <w:basedOn w:val="1"/>
    <w:next w:val="1"/>
    <w:qFormat/>
    <w:uiPriority w:val="0"/>
    <w:pPr>
      <w:ind w:left="2520" w:leftChars="1200"/>
    </w:pPr>
  </w:style>
  <w:style w:type="paragraph" w:styleId="14">
    <w:name w:val="caption"/>
    <w:basedOn w:val="1"/>
    <w:next w:val="1"/>
    <w:qFormat/>
    <w:uiPriority w:val="0"/>
    <w:pPr>
      <w:spacing w:line="480" w:lineRule="auto"/>
    </w:pPr>
    <w:rPr>
      <w:rFonts w:ascii="华文中宋" w:hAnsi="华文中宋" w:eastAsia="华文中宋"/>
      <w:sz w:val="36"/>
      <w:szCs w:val="20"/>
    </w:rPr>
  </w:style>
  <w:style w:type="paragraph" w:styleId="15">
    <w:name w:val="Document Map"/>
    <w:basedOn w:val="1"/>
    <w:link w:val="236"/>
    <w:qFormat/>
    <w:uiPriority w:val="0"/>
    <w:pPr>
      <w:shd w:val="clear" w:color="auto" w:fill="000080"/>
    </w:pPr>
  </w:style>
  <w:style w:type="paragraph" w:styleId="16">
    <w:name w:val="annotation text"/>
    <w:basedOn w:val="1"/>
    <w:link w:val="183"/>
    <w:qFormat/>
    <w:uiPriority w:val="99"/>
    <w:pPr>
      <w:jc w:val="left"/>
    </w:pPr>
  </w:style>
  <w:style w:type="paragraph" w:styleId="17">
    <w:name w:val="Body Text 3"/>
    <w:basedOn w:val="1"/>
    <w:link w:val="237"/>
    <w:qFormat/>
    <w:uiPriority w:val="0"/>
    <w:pPr>
      <w:spacing w:after="120"/>
    </w:pPr>
    <w:rPr>
      <w:sz w:val="16"/>
      <w:szCs w:val="16"/>
    </w:rPr>
  </w:style>
  <w:style w:type="paragraph" w:styleId="18">
    <w:name w:val="Body Text"/>
    <w:basedOn w:val="1"/>
    <w:next w:val="1"/>
    <w:link w:val="238"/>
    <w:qFormat/>
    <w:uiPriority w:val="0"/>
    <w:pPr>
      <w:tabs>
        <w:tab w:val="left" w:pos="567"/>
      </w:tabs>
      <w:spacing w:before="120" w:line="22" w:lineRule="atLeast"/>
    </w:pPr>
    <w:rPr>
      <w:rFonts w:ascii="宋体" w:hAnsi="宋体"/>
      <w:sz w:val="24"/>
    </w:rPr>
  </w:style>
  <w:style w:type="paragraph" w:styleId="19">
    <w:name w:val="Body Text Indent"/>
    <w:basedOn w:val="1"/>
    <w:link w:val="69"/>
    <w:qFormat/>
    <w:uiPriority w:val="0"/>
    <w:pPr>
      <w:spacing w:line="360" w:lineRule="auto"/>
      <w:ind w:firstLine="570"/>
    </w:pPr>
    <w:rPr>
      <w:sz w:val="24"/>
    </w:rPr>
  </w:style>
  <w:style w:type="paragraph" w:styleId="20">
    <w:name w:val="List 2"/>
    <w:basedOn w:val="1"/>
    <w:qFormat/>
    <w:uiPriority w:val="0"/>
    <w:pPr>
      <w:ind w:left="100" w:leftChars="200" w:hanging="200" w:hangingChars="200"/>
    </w:pPr>
  </w:style>
  <w:style w:type="paragraph" w:styleId="21">
    <w:name w:val="Block Text"/>
    <w:basedOn w:val="1"/>
    <w:qFormat/>
    <w:uiPriority w:val="0"/>
    <w:pPr>
      <w:widowControl/>
      <w:ind w:left="480" w:right="-341" w:firstLine="513"/>
    </w:pPr>
    <w:rPr>
      <w:kern w:val="0"/>
      <w:sz w:val="24"/>
      <w:szCs w:val="20"/>
    </w:rPr>
  </w:style>
  <w:style w:type="paragraph" w:styleId="22">
    <w:name w:val="toc 5"/>
    <w:basedOn w:val="1"/>
    <w:next w:val="1"/>
    <w:qFormat/>
    <w:uiPriority w:val="0"/>
    <w:pPr>
      <w:ind w:left="1680" w:leftChars="800"/>
    </w:pPr>
  </w:style>
  <w:style w:type="paragraph" w:styleId="23">
    <w:name w:val="toc 3"/>
    <w:basedOn w:val="1"/>
    <w:next w:val="1"/>
    <w:qFormat/>
    <w:uiPriority w:val="39"/>
    <w:pPr>
      <w:ind w:left="840" w:leftChars="400"/>
    </w:pPr>
  </w:style>
  <w:style w:type="paragraph" w:styleId="24">
    <w:name w:val="Plain Text"/>
    <w:basedOn w:val="1"/>
    <w:link w:val="203"/>
    <w:qFormat/>
    <w:uiPriority w:val="0"/>
    <w:rPr>
      <w:rFonts w:hint="eastAsia" w:ascii="宋体" w:hAnsi="Courier New"/>
      <w:szCs w:val="20"/>
    </w:rPr>
  </w:style>
  <w:style w:type="paragraph" w:styleId="25">
    <w:name w:val="toc 8"/>
    <w:basedOn w:val="1"/>
    <w:next w:val="1"/>
    <w:qFormat/>
    <w:uiPriority w:val="0"/>
    <w:pPr>
      <w:ind w:left="2940" w:leftChars="1400"/>
    </w:pPr>
  </w:style>
  <w:style w:type="paragraph" w:styleId="26">
    <w:name w:val="Date"/>
    <w:basedOn w:val="1"/>
    <w:next w:val="1"/>
    <w:link w:val="239"/>
    <w:qFormat/>
    <w:uiPriority w:val="0"/>
    <w:pPr>
      <w:ind w:left="100" w:leftChars="2500"/>
    </w:pPr>
    <w:rPr>
      <w:rFonts w:ascii="仿宋_GB2312" w:hAnsi="宋体" w:eastAsia="仿宋_GB2312"/>
      <w:color w:val="000000"/>
      <w:sz w:val="24"/>
    </w:rPr>
  </w:style>
  <w:style w:type="paragraph" w:styleId="27">
    <w:name w:val="Body Text Indent 2"/>
    <w:basedOn w:val="1"/>
    <w:link w:val="240"/>
    <w:qFormat/>
    <w:uiPriority w:val="0"/>
    <w:pPr>
      <w:ind w:firstLine="480" w:firstLineChars="200"/>
    </w:pPr>
    <w:rPr>
      <w:rFonts w:ascii="仿宋_GB2312" w:eastAsia="仿宋_GB2312"/>
      <w:sz w:val="24"/>
    </w:rPr>
  </w:style>
  <w:style w:type="paragraph" w:styleId="28">
    <w:name w:val="Balloon Text"/>
    <w:basedOn w:val="1"/>
    <w:link w:val="241"/>
    <w:qFormat/>
    <w:uiPriority w:val="0"/>
    <w:rPr>
      <w:sz w:val="18"/>
      <w:szCs w:val="18"/>
    </w:rPr>
  </w:style>
  <w:style w:type="paragraph" w:styleId="29">
    <w:name w:val="footer"/>
    <w:basedOn w:val="1"/>
    <w:link w:val="170"/>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0">
    <w:name w:val="header"/>
    <w:basedOn w:val="1"/>
    <w:link w:val="78"/>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2">
    <w:name w:val="toc 4"/>
    <w:basedOn w:val="1"/>
    <w:next w:val="1"/>
    <w:qFormat/>
    <w:uiPriority w:val="0"/>
    <w:pPr>
      <w:ind w:left="1260" w:leftChars="600"/>
    </w:pPr>
  </w:style>
  <w:style w:type="paragraph" w:styleId="33">
    <w:name w:val="toc 6"/>
    <w:basedOn w:val="1"/>
    <w:next w:val="1"/>
    <w:qFormat/>
    <w:uiPriority w:val="0"/>
    <w:pPr>
      <w:ind w:left="2100" w:leftChars="1000"/>
    </w:pPr>
  </w:style>
  <w:style w:type="paragraph" w:styleId="34">
    <w:name w:val="Body Text Indent 3"/>
    <w:basedOn w:val="1"/>
    <w:link w:val="242"/>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5">
    <w:name w:val="toc 2"/>
    <w:basedOn w:val="1"/>
    <w:next w:val="1"/>
    <w:qFormat/>
    <w:uiPriority w:val="39"/>
    <w:pPr>
      <w:tabs>
        <w:tab w:val="right" w:leader="dot" w:pos="8937"/>
      </w:tabs>
      <w:spacing w:line="312" w:lineRule="auto"/>
      <w:ind w:left="420" w:leftChars="200"/>
    </w:pPr>
  </w:style>
  <w:style w:type="paragraph" w:styleId="36">
    <w:name w:val="toc 9"/>
    <w:basedOn w:val="1"/>
    <w:next w:val="1"/>
    <w:qFormat/>
    <w:uiPriority w:val="0"/>
    <w:pPr>
      <w:ind w:left="3360" w:leftChars="1600"/>
    </w:pPr>
  </w:style>
  <w:style w:type="paragraph" w:styleId="37">
    <w:name w:val="HTML Preformatted"/>
    <w:basedOn w:val="1"/>
    <w:link w:val="24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rPr>
      <w:szCs w:val="20"/>
    </w:rPr>
  </w:style>
  <w:style w:type="paragraph" w:styleId="40">
    <w:name w:val="Title"/>
    <w:basedOn w:val="1"/>
    <w:link w:val="189"/>
    <w:qFormat/>
    <w:uiPriority w:val="0"/>
    <w:pPr>
      <w:jc w:val="center"/>
      <w:outlineLvl w:val="0"/>
    </w:pPr>
    <w:rPr>
      <w:b/>
      <w:sz w:val="32"/>
      <w:szCs w:val="20"/>
    </w:rPr>
  </w:style>
  <w:style w:type="paragraph" w:styleId="41">
    <w:name w:val="annotation subject"/>
    <w:basedOn w:val="16"/>
    <w:next w:val="16"/>
    <w:link w:val="244"/>
    <w:qFormat/>
    <w:uiPriority w:val="0"/>
    <w:rPr>
      <w:b/>
      <w:bCs/>
    </w:rPr>
  </w:style>
  <w:style w:type="paragraph" w:styleId="42">
    <w:name w:val="Body Text First Indent 2"/>
    <w:basedOn w:val="19"/>
    <w:link w:val="245"/>
    <w:qFormat/>
    <w:uiPriority w:val="0"/>
    <w:pPr>
      <w:spacing w:after="120" w:line="480" w:lineRule="exact"/>
      <w:ind w:left="420" w:leftChars="200" w:firstLine="420" w:firstLineChars="200"/>
    </w:pPr>
    <w:rPr>
      <w:szCs w:val="20"/>
    </w:rPr>
  </w:style>
  <w:style w:type="table" w:styleId="44">
    <w:name w:val="Table Grid"/>
    <w:basedOn w:val="4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45">
    <w:name w:val="Medium Grid 1 Accent 2"/>
    <w:basedOn w:val="43"/>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47">
    <w:name w:val="Strong"/>
    <w:qFormat/>
    <w:uiPriority w:val="0"/>
    <w:rPr>
      <w:b/>
      <w:bCs/>
    </w:rPr>
  </w:style>
  <w:style w:type="character" w:styleId="48">
    <w:name w:val="page number"/>
    <w:basedOn w:val="46"/>
    <w:qFormat/>
    <w:uiPriority w:val="0"/>
  </w:style>
  <w:style w:type="character" w:styleId="49">
    <w:name w:val="FollowedHyperlink"/>
    <w:qFormat/>
    <w:uiPriority w:val="0"/>
    <w:rPr>
      <w:color w:val="800080"/>
      <w:u w:val="single"/>
    </w:rPr>
  </w:style>
  <w:style w:type="character" w:styleId="50">
    <w:name w:val="Emphasis"/>
    <w:qFormat/>
    <w:uiPriority w:val="0"/>
    <w:rPr>
      <w:color w:val="CC0033"/>
    </w:rPr>
  </w:style>
  <w:style w:type="character" w:styleId="51">
    <w:name w:val="Hyperlink"/>
    <w:qFormat/>
    <w:uiPriority w:val="99"/>
    <w:rPr>
      <w:color w:val="0000FF"/>
      <w:u w:val="single"/>
    </w:rPr>
  </w:style>
  <w:style w:type="character" w:styleId="52">
    <w:name w:val="annotation reference"/>
    <w:qFormat/>
    <w:uiPriority w:val="99"/>
    <w:rPr>
      <w:sz w:val="21"/>
      <w:szCs w:val="21"/>
    </w:rPr>
  </w:style>
  <w:style w:type="character" w:styleId="53">
    <w:name w:val="HTML Cite"/>
    <w:qFormat/>
    <w:uiPriority w:val="0"/>
    <w:rPr>
      <w:i/>
      <w:iCs/>
    </w:rPr>
  </w:style>
  <w:style w:type="character" w:customStyle="1" w:styleId="54">
    <w:name w:val="标题 3 Char"/>
    <w:qFormat/>
    <w:uiPriority w:val="0"/>
    <w:rPr>
      <w:rFonts w:ascii="宋体" w:eastAsia="宋体"/>
      <w:b/>
      <w:sz w:val="24"/>
      <w:u w:val="single"/>
      <w:lang w:val="en-US" w:eastAsia="zh-CN" w:bidi="ar-SA"/>
    </w:rPr>
  </w:style>
  <w:style w:type="character" w:customStyle="1" w:styleId="55">
    <w:name w:val="标题 2 字符"/>
    <w:link w:val="3"/>
    <w:qFormat/>
    <w:uiPriority w:val="0"/>
    <w:rPr>
      <w:rFonts w:ascii="Arial" w:hAnsi="Arial" w:eastAsia="黑体"/>
      <w:b/>
      <w:sz w:val="30"/>
      <w:lang w:val="en-US" w:eastAsia="zh-CN" w:bidi="ar-SA"/>
    </w:rPr>
  </w:style>
  <w:style w:type="paragraph" w:customStyle="1" w:styleId="56">
    <w:name w:val="无间隔1"/>
    <w:basedOn w:val="1"/>
    <w:qFormat/>
    <w:uiPriority w:val="0"/>
    <w:pPr>
      <w:widowControl/>
      <w:spacing w:line="360" w:lineRule="auto"/>
      <w:jc w:val="center"/>
    </w:pPr>
    <w:rPr>
      <w:szCs w:val="21"/>
    </w:rPr>
  </w:style>
  <w:style w:type="character" w:customStyle="1" w:styleId="57">
    <w:name w:val="标题 3 字符"/>
    <w:link w:val="5"/>
    <w:qFormat/>
    <w:uiPriority w:val="0"/>
    <w:rPr>
      <w:rFonts w:ascii="宋体" w:eastAsia="宋体"/>
      <w:b/>
      <w:sz w:val="24"/>
      <w:u w:val="single"/>
      <w:lang w:val="en-US" w:eastAsia="zh-CN" w:bidi="ar-SA"/>
    </w:rPr>
  </w:style>
  <w:style w:type="character" w:customStyle="1" w:styleId="58">
    <w:name w:val="c21"/>
    <w:qFormat/>
    <w:uiPriority w:val="0"/>
    <w:rPr>
      <w:rFonts w:hint="default" w:ascii="ˎ̥" w:hAnsi="ˎ̥"/>
      <w:color w:val="000000"/>
      <w:sz w:val="20"/>
      <w:szCs w:val="20"/>
      <w:u w:val="none"/>
    </w:rPr>
  </w:style>
  <w:style w:type="character" w:customStyle="1" w:styleId="59">
    <w:name w:val="title4"/>
    <w:qFormat/>
    <w:uiPriority w:val="0"/>
    <w:rPr>
      <w:b/>
      <w:bCs/>
      <w:color w:val="1D87B3"/>
      <w:sz w:val="15"/>
      <w:szCs w:val="15"/>
    </w:rPr>
  </w:style>
  <w:style w:type="character" w:customStyle="1" w:styleId="60">
    <w:name w:val="标题 2 Char Char"/>
    <w:qFormat/>
    <w:uiPriority w:val="0"/>
    <w:rPr>
      <w:rFonts w:ascii="Arial" w:hAnsi="Arial" w:eastAsia="黑体"/>
      <w:b/>
      <w:bCs/>
      <w:kern w:val="2"/>
      <w:sz w:val="32"/>
      <w:szCs w:val="32"/>
      <w:lang w:val="en-US" w:eastAsia="zh-CN" w:bidi="ar-SA"/>
    </w:rPr>
  </w:style>
  <w:style w:type="character" w:customStyle="1" w:styleId="61">
    <w:name w:val="black1"/>
    <w:qFormat/>
    <w:uiPriority w:val="0"/>
    <w:rPr>
      <w:color w:val="000000"/>
    </w:rPr>
  </w:style>
  <w:style w:type="character" w:customStyle="1" w:styleId="62">
    <w:name w:val="street-address"/>
    <w:basedOn w:val="46"/>
    <w:qFormat/>
    <w:uiPriority w:val="0"/>
  </w:style>
  <w:style w:type="character" w:customStyle="1" w:styleId="63">
    <w:name w:val="locality"/>
    <w:basedOn w:val="46"/>
    <w:qFormat/>
    <w:uiPriority w:val="0"/>
  </w:style>
  <w:style w:type="character" w:customStyle="1" w:styleId="64">
    <w:name w:val="正文缩进 字符"/>
    <w:link w:val="6"/>
    <w:qFormat/>
    <w:uiPriority w:val="0"/>
    <w:rPr>
      <w:rFonts w:ascii="宋体" w:eastAsia="宋体"/>
      <w:kern w:val="2"/>
      <w:sz w:val="24"/>
      <w:szCs w:val="24"/>
      <w:lang w:val="en-US" w:eastAsia="zh-CN" w:bidi="ar-SA"/>
    </w:rPr>
  </w:style>
  <w:style w:type="character" w:customStyle="1" w:styleId="65">
    <w:name w:val="正文文本缩进 Char1"/>
    <w:link w:val="66"/>
    <w:qFormat/>
    <w:uiPriority w:val="0"/>
    <w:rPr>
      <w:rFonts w:ascii="宋体" w:hAnsi="宋体" w:eastAsia="宋体"/>
      <w:sz w:val="24"/>
      <w:szCs w:val="24"/>
      <w:lang w:bidi="ar-SA"/>
    </w:rPr>
  </w:style>
  <w:style w:type="paragraph" w:customStyle="1" w:styleId="66">
    <w:name w:val="正文文本缩进1"/>
    <w:basedOn w:val="1"/>
    <w:link w:val="65"/>
    <w:qFormat/>
    <w:uiPriority w:val="0"/>
    <w:pPr>
      <w:spacing w:line="480" w:lineRule="exact"/>
      <w:ind w:firstLine="480" w:firstLineChars="200"/>
    </w:pPr>
    <w:rPr>
      <w:rFonts w:ascii="宋体" w:hAnsi="宋体"/>
      <w:kern w:val="0"/>
      <w:sz w:val="24"/>
    </w:rPr>
  </w:style>
  <w:style w:type="character" w:customStyle="1" w:styleId="67">
    <w:name w:val="Char Char11"/>
    <w:qFormat/>
    <w:uiPriority w:val="0"/>
    <w:rPr>
      <w:rFonts w:ascii="宋体" w:eastAsia="宋体"/>
      <w:b/>
      <w:sz w:val="24"/>
      <w:u w:val="single"/>
      <w:lang w:val="en-US" w:eastAsia="zh-CN" w:bidi="ar-SA"/>
    </w:rPr>
  </w:style>
  <w:style w:type="character" w:customStyle="1" w:styleId="68">
    <w:name w:val="txt"/>
    <w:basedOn w:val="46"/>
    <w:qFormat/>
    <w:uiPriority w:val="0"/>
  </w:style>
  <w:style w:type="character" w:customStyle="1" w:styleId="69">
    <w:name w:val="正文文本缩进 字符"/>
    <w:link w:val="19"/>
    <w:qFormat/>
    <w:uiPriority w:val="0"/>
    <w:rPr>
      <w:rFonts w:eastAsia="宋体"/>
      <w:kern w:val="2"/>
      <w:sz w:val="24"/>
      <w:szCs w:val="24"/>
      <w:lang w:val="en-US" w:eastAsia="zh-CN" w:bidi="ar-SA"/>
    </w:rPr>
  </w:style>
  <w:style w:type="character" w:customStyle="1" w:styleId="70">
    <w:name w:val="正文缩进 Char Char"/>
    <w:link w:val="71"/>
    <w:qFormat/>
    <w:uiPriority w:val="0"/>
    <w:rPr>
      <w:rFonts w:ascii="宋体" w:eastAsia="宋体"/>
      <w:snapToGrid w:val="0"/>
      <w:color w:val="000000"/>
      <w:kern w:val="28"/>
      <w:sz w:val="28"/>
      <w:lang w:bidi="ar-SA"/>
    </w:rPr>
  </w:style>
  <w:style w:type="paragraph" w:customStyle="1" w:styleId="71">
    <w:name w:val="正文缩进1"/>
    <w:basedOn w:val="1"/>
    <w:link w:val="70"/>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2">
    <w:name w:val="普通文字1 Char1"/>
    <w:qFormat/>
    <w:uiPriority w:val="0"/>
    <w:rPr>
      <w:rFonts w:ascii="宋体" w:hAnsi="Courier New" w:eastAsia="宋体"/>
      <w:kern w:val="2"/>
      <w:sz w:val="21"/>
      <w:lang w:val="en-US" w:eastAsia="zh-CN" w:bidi="ar-SA"/>
    </w:rPr>
  </w:style>
  <w:style w:type="character" w:customStyle="1" w:styleId="73">
    <w:name w:val="chanpin1"/>
    <w:qFormat/>
    <w:uiPriority w:val="0"/>
    <w:rPr>
      <w:rFonts w:hint="default" w:ascii="ˎ̥" w:hAnsi="ˎ̥"/>
      <w:color w:val="000000"/>
      <w:sz w:val="20"/>
      <w:szCs w:val="20"/>
      <w:u w:val="none"/>
    </w:rPr>
  </w:style>
  <w:style w:type="character" w:customStyle="1" w:styleId="74">
    <w:name w:val="列表段落 字符"/>
    <w:link w:val="75"/>
    <w:qFormat/>
    <w:uiPriority w:val="34"/>
    <w:rPr>
      <w:rFonts w:ascii="Calibri" w:hAnsi="Calibri" w:eastAsia="宋体"/>
      <w:kern w:val="2"/>
      <w:sz w:val="21"/>
      <w:szCs w:val="22"/>
      <w:lang w:val="en-US" w:eastAsia="zh-CN" w:bidi="ar-SA"/>
    </w:rPr>
  </w:style>
  <w:style w:type="paragraph" w:styleId="75">
    <w:name w:val="List Paragraph"/>
    <w:basedOn w:val="1"/>
    <w:link w:val="74"/>
    <w:qFormat/>
    <w:uiPriority w:val="34"/>
    <w:pPr>
      <w:ind w:firstLine="420" w:firstLineChars="200"/>
    </w:pPr>
    <w:rPr>
      <w:rFonts w:ascii="Calibri" w:hAnsi="Calibri"/>
      <w:szCs w:val="22"/>
    </w:rPr>
  </w:style>
  <w:style w:type="character" w:customStyle="1" w:styleId="76">
    <w:name w:val="标题 3 Char Char"/>
    <w:qFormat/>
    <w:uiPriority w:val="0"/>
    <w:rPr>
      <w:rFonts w:eastAsia="宋体"/>
      <w:b/>
      <w:bCs/>
      <w:kern w:val="2"/>
      <w:sz w:val="32"/>
      <w:szCs w:val="32"/>
      <w:lang w:val="en-US" w:eastAsia="zh-CN" w:bidi="ar-SA"/>
    </w:rPr>
  </w:style>
  <w:style w:type="character" w:customStyle="1" w:styleId="77">
    <w:name w:val="段1 Char"/>
    <w:qFormat/>
    <w:uiPriority w:val="0"/>
    <w:rPr>
      <w:rFonts w:ascii="宋体" w:eastAsia="宋体"/>
      <w:sz w:val="24"/>
      <w:lang w:val="en-US" w:eastAsia="zh-CN" w:bidi="ar-SA"/>
    </w:rPr>
  </w:style>
  <w:style w:type="character" w:customStyle="1" w:styleId="78">
    <w:name w:val="页眉 字符"/>
    <w:link w:val="30"/>
    <w:qFormat/>
    <w:uiPriority w:val="0"/>
    <w:rPr>
      <w:rFonts w:eastAsia="宋体"/>
      <w:kern w:val="2"/>
      <w:sz w:val="18"/>
      <w:szCs w:val="18"/>
      <w:lang w:val="en-US" w:eastAsia="zh-CN" w:bidi="ar-SA"/>
    </w:rPr>
  </w:style>
  <w:style w:type="character" w:customStyle="1" w:styleId="79">
    <w:name w:val="chanpin拷贝"/>
    <w:basedOn w:val="46"/>
    <w:qFormat/>
    <w:uiPriority w:val="0"/>
  </w:style>
  <w:style w:type="character" w:customStyle="1" w:styleId="80">
    <w:name w:val="纯文本 Char1"/>
    <w:qFormat/>
    <w:uiPriority w:val="0"/>
    <w:rPr>
      <w:rFonts w:ascii="宋体" w:hAnsi="Courier New" w:eastAsia="宋体"/>
      <w:kern w:val="2"/>
      <w:sz w:val="21"/>
      <w:lang w:val="en-US" w:eastAsia="zh-CN" w:bidi="ar-SA"/>
    </w:rPr>
  </w:style>
  <w:style w:type="character" w:customStyle="1" w:styleId="81">
    <w:name w:val="apple-style-span"/>
    <w:qFormat/>
    <w:uiPriority w:val="0"/>
    <w:rPr>
      <w:rFonts w:cs="Times New Roman"/>
    </w:rPr>
  </w:style>
  <w:style w:type="paragraph" w:customStyle="1" w:styleId="82">
    <w:name w:val="二级条标题"/>
    <w:basedOn w:val="83"/>
    <w:next w:val="1"/>
    <w:qFormat/>
    <w:uiPriority w:val="0"/>
    <w:pPr>
      <w:numPr>
        <w:numId w:val="0"/>
      </w:numPr>
      <w:tabs>
        <w:tab w:val="left" w:pos="360"/>
        <w:tab w:val="left" w:pos="840"/>
      </w:tabs>
      <w:ind w:hanging="840"/>
      <w:outlineLvl w:val="2"/>
    </w:pPr>
    <w:rPr>
      <w:rFonts w:ascii="宋体" w:eastAsia="宋体"/>
      <w:b w:val="0"/>
    </w:rPr>
  </w:style>
  <w:style w:type="paragraph" w:customStyle="1" w:styleId="83">
    <w:name w:val="一级条标题"/>
    <w:basedOn w:val="84"/>
    <w:next w:val="1"/>
    <w:qFormat/>
    <w:uiPriority w:val="0"/>
    <w:pPr>
      <w:numPr>
        <w:ilvl w:val="1"/>
      </w:numPr>
      <w:tabs>
        <w:tab w:val="left" w:pos="360"/>
        <w:tab w:val="left" w:pos="840"/>
      </w:tabs>
      <w:ind w:left="0" w:hanging="840"/>
      <w:outlineLvl w:val="1"/>
    </w:pPr>
  </w:style>
  <w:style w:type="paragraph" w:customStyle="1" w:styleId="84">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5">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6">
    <w:name w:val="字元 字元"/>
    <w:basedOn w:val="1"/>
    <w:qFormat/>
    <w:uiPriority w:val="0"/>
    <w:rPr>
      <w:rFonts w:ascii="Tahoma" w:hAnsi="Tahoma"/>
      <w:sz w:val="24"/>
      <w:szCs w:val="20"/>
    </w:rPr>
  </w:style>
  <w:style w:type="paragraph" w:customStyle="1" w:styleId="87">
    <w:name w:val="Char3 Char Char Char"/>
    <w:basedOn w:val="1"/>
    <w:qFormat/>
    <w:uiPriority w:val="0"/>
    <w:rPr>
      <w:rFonts w:ascii="Tahoma" w:hAnsi="Tahoma"/>
      <w:sz w:val="24"/>
      <w:szCs w:val="20"/>
    </w:rPr>
  </w:style>
  <w:style w:type="paragraph" w:customStyle="1" w:styleId="88">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9">
    <w:name w:val="项目编号2"/>
    <w:basedOn w:val="90"/>
    <w:qFormat/>
    <w:uiPriority w:val="0"/>
    <w:pPr>
      <w:numPr>
        <w:numId w:val="2"/>
      </w:numPr>
    </w:pPr>
  </w:style>
  <w:style w:type="paragraph" w:customStyle="1" w:styleId="90">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91">
    <w:name w:val="图中文字"/>
    <w:basedOn w:val="1"/>
    <w:qFormat/>
    <w:uiPriority w:val="0"/>
    <w:pPr>
      <w:adjustRightInd w:val="0"/>
      <w:snapToGrid w:val="0"/>
      <w:spacing w:line="0" w:lineRule="atLeast"/>
      <w:jc w:val="center"/>
    </w:pPr>
    <w:rPr>
      <w:sz w:val="24"/>
      <w:szCs w:val="20"/>
    </w:rPr>
  </w:style>
  <w:style w:type="paragraph" w:customStyle="1" w:styleId="92">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4">
    <w:name w:val="Char2"/>
    <w:basedOn w:val="1"/>
    <w:qFormat/>
    <w:uiPriority w:val="0"/>
    <w:rPr>
      <w:rFonts w:ascii="Tahoma" w:hAnsi="Tahoma"/>
      <w:sz w:val="24"/>
      <w:szCs w:val="20"/>
    </w:rPr>
  </w:style>
  <w:style w:type="paragraph" w:customStyle="1" w:styleId="95">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6">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7">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8">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9">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01">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2">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3">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4">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6">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8">
    <w:name w:val="font8"/>
    <w:basedOn w:val="1"/>
    <w:qFormat/>
    <w:uiPriority w:val="0"/>
    <w:pPr>
      <w:widowControl/>
      <w:spacing w:before="100" w:beforeAutospacing="1" w:after="100" w:afterAutospacing="1"/>
      <w:jc w:val="left"/>
    </w:pPr>
    <w:rPr>
      <w:kern w:val="0"/>
      <w:sz w:val="36"/>
      <w:szCs w:val="36"/>
    </w:rPr>
  </w:style>
  <w:style w:type="paragraph" w:customStyle="1" w:styleId="109">
    <w:name w:val="Char"/>
    <w:basedOn w:val="1"/>
    <w:qFormat/>
    <w:uiPriority w:val="0"/>
    <w:pPr>
      <w:tabs>
        <w:tab w:val="left" w:pos="360"/>
      </w:tabs>
    </w:pPr>
    <w:rPr>
      <w:sz w:val="24"/>
    </w:rPr>
  </w:style>
  <w:style w:type="paragraph" w:customStyle="1" w:styleId="110">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11">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2">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3">
    <w:name w:val="Char Char1"/>
    <w:basedOn w:val="15"/>
    <w:qFormat/>
    <w:uiPriority w:val="0"/>
    <w:rPr>
      <w:rFonts w:ascii="Tahoma" w:hAnsi="Tahoma"/>
      <w:sz w:val="24"/>
    </w:rPr>
  </w:style>
  <w:style w:type="paragraph" w:customStyle="1" w:styleId="11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6">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7">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8">
    <w:name w:val="Char1 Char Char Char1"/>
    <w:basedOn w:val="1"/>
    <w:qFormat/>
    <w:uiPriority w:val="0"/>
    <w:rPr>
      <w:rFonts w:ascii="Tahoma" w:hAnsi="Tahoma" w:cs="仿宋_GB2312"/>
      <w:sz w:val="24"/>
      <w:szCs w:val="28"/>
    </w:rPr>
  </w:style>
  <w:style w:type="paragraph" w:customStyle="1" w:styleId="119">
    <w:name w:val="四级条标题"/>
    <w:basedOn w:val="120"/>
    <w:next w:val="1"/>
    <w:qFormat/>
    <w:uiPriority w:val="0"/>
    <w:pPr>
      <w:numPr>
        <w:ilvl w:val="4"/>
      </w:numPr>
      <w:tabs>
        <w:tab w:val="left" w:pos="360"/>
        <w:tab w:val="left" w:pos="840"/>
      </w:tabs>
      <w:ind w:left="0" w:hanging="840"/>
      <w:outlineLvl w:val="4"/>
    </w:pPr>
  </w:style>
  <w:style w:type="paragraph" w:customStyle="1" w:styleId="120">
    <w:name w:val="三级条标题"/>
    <w:basedOn w:val="82"/>
    <w:next w:val="1"/>
    <w:qFormat/>
    <w:uiPriority w:val="0"/>
    <w:pPr>
      <w:numPr>
        <w:ilvl w:val="3"/>
        <w:numId w:val="1"/>
      </w:numPr>
      <w:ind w:left="0" w:hanging="840"/>
      <w:outlineLvl w:val="3"/>
    </w:pPr>
  </w:style>
  <w:style w:type="paragraph" w:customStyle="1" w:styleId="121">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2">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3">
    <w:name w:val="List Paragraph1"/>
    <w:basedOn w:val="1"/>
    <w:qFormat/>
    <w:uiPriority w:val="0"/>
    <w:pPr>
      <w:ind w:firstLine="420" w:firstLineChars="200"/>
    </w:pPr>
    <w:rPr>
      <w:rFonts w:ascii="Calibri" w:hAnsi="Calibri"/>
      <w:szCs w:val="22"/>
    </w:rPr>
  </w:style>
  <w:style w:type="paragraph" w:customStyle="1" w:styleId="124">
    <w:name w:val="项目符号1"/>
    <w:basedOn w:val="125"/>
    <w:qFormat/>
    <w:uiPriority w:val="0"/>
    <w:pPr>
      <w:ind w:left="-25" w:firstLine="0"/>
    </w:pPr>
  </w:style>
  <w:style w:type="paragraph" w:customStyle="1" w:styleId="125">
    <w:name w:val="正文文本样式"/>
    <w:basedOn w:val="1"/>
    <w:qFormat/>
    <w:uiPriority w:val="0"/>
    <w:pPr>
      <w:spacing w:line="360" w:lineRule="auto"/>
      <w:ind w:firstLine="482"/>
    </w:pPr>
    <w:rPr>
      <w:rFonts w:cs="宋体"/>
      <w:sz w:val="24"/>
      <w:szCs w:val="20"/>
    </w:rPr>
  </w:style>
  <w:style w:type="paragraph" w:customStyle="1" w:styleId="126">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8">
    <w:name w:val="五级条标题"/>
    <w:basedOn w:val="119"/>
    <w:next w:val="1"/>
    <w:qFormat/>
    <w:uiPriority w:val="0"/>
    <w:pPr>
      <w:numPr>
        <w:ilvl w:val="5"/>
      </w:numPr>
      <w:ind w:left="0" w:hanging="840"/>
      <w:outlineLvl w:val="5"/>
    </w:pPr>
  </w:style>
  <w:style w:type="paragraph" w:customStyle="1" w:styleId="129">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3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1">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2">
    <w:name w:val="Char Char Char1 Char"/>
    <w:basedOn w:val="1"/>
    <w:qFormat/>
    <w:uiPriority w:val="0"/>
    <w:rPr>
      <w:rFonts w:ascii="Tahoma" w:hAnsi="Tahoma"/>
      <w:sz w:val="24"/>
      <w:szCs w:val="20"/>
    </w:rPr>
  </w:style>
  <w:style w:type="paragraph" w:customStyle="1" w:styleId="133">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4">
    <w:name w:val="1名"/>
    <w:basedOn w:val="1"/>
    <w:qFormat/>
    <w:uiPriority w:val="0"/>
    <w:pPr>
      <w:numPr>
        <w:ilvl w:val="0"/>
        <w:numId w:val="5"/>
      </w:numPr>
      <w:spacing w:before="120"/>
    </w:pPr>
    <w:rPr>
      <w:rFonts w:ascii="宋体"/>
      <w:sz w:val="28"/>
      <w:szCs w:val="20"/>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6">
    <w:name w:val="Char Char Char1 Char1"/>
    <w:basedOn w:val="1"/>
    <w:qFormat/>
    <w:uiPriority w:val="0"/>
    <w:rPr>
      <w:rFonts w:ascii="Tahoma" w:hAnsi="Tahoma"/>
      <w:sz w:val="24"/>
      <w:szCs w:val="20"/>
    </w:rPr>
  </w:style>
  <w:style w:type="paragraph" w:customStyle="1" w:styleId="137">
    <w:name w:val="Char Char Char Char Char Char Char Char Char Char"/>
    <w:basedOn w:val="1"/>
    <w:qFormat/>
    <w:uiPriority w:val="0"/>
  </w:style>
  <w:style w:type="paragraph" w:customStyle="1" w:styleId="138">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9">
    <w:name w:val="Char1"/>
    <w:basedOn w:val="1"/>
    <w:qFormat/>
    <w:uiPriority w:val="0"/>
    <w:pPr>
      <w:tabs>
        <w:tab w:val="left" w:pos="360"/>
      </w:tabs>
    </w:pPr>
    <w:rPr>
      <w:sz w:val="24"/>
    </w:rPr>
  </w:style>
  <w:style w:type="paragraph" w:customStyle="1" w:styleId="140">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2">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3">
    <w:name w:val="默认段落字体 Para Char Char Char Char"/>
    <w:basedOn w:val="1"/>
    <w:qFormat/>
    <w:uiPriority w:val="0"/>
    <w:rPr>
      <w:rFonts w:ascii="Arial" w:hAnsi="Arial" w:cs="Arial"/>
      <w:szCs w:val="21"/>
    </w:rPr>
  </w:style>
  <w:style w:type="paragraph" w:customStyle="1" w:styleId="144">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5">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6">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7">
    <w:name w:val="Char Char Char"/>
    <w:basedOn w:val="1"/>
    <w:qFormat/>
    <w:uiPriority w:val="0"/>
    <w:rPr>
      <w:rFonts w:ascii="Tahoma" w:hAnsi="Tahoma"/>
      <w:sz w:val="24"/>
      <w:szCs w:val="20"/>
    </w:rPr>
  </w:style>
  <w:style w:type="paragraph" w:customStyle="1" w:styleId="148">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49">
    <w:name w:val="缺省文本"/>
    <w:basedOn w:val="1"/>
    <w:qFormat/>
    <w:uiPriority w:val="0"/>
    <w:pPr>
      <w:autoSpaceDE w:val="0"/>
      <w:autoSpaceDN w:val="0"/>
      <w:adjustRightInd w:val="0"/>
      <w:jc w:val="left"/>
    </w:pPr>
    <w:rPr>
      <w:kern w:val="0"/>
      <w:sz w:val="24"/>
    </w:rPr>
  </w:style>
  <w:style w:type="paragraph" w:customStyle="1" w:styleId="150">
    <w:name w:val="Char Char Char1"/>
    <w:basedOn w:val="1"/>
    <w:qFormat/>
    <w:uiPriority w:val="0"/>
    <w:rPr>
      <w:rFonts w:ascii="Tahoma" w:hAnsi="Tahoma"/>
      <w:sz w:val="24"/>
      <w:szCs w:val="20"/>
    </w:rPr>
  </w:style>
  <w:style w:type="paragraph" w:customStyle="1" w:styleId="151">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2">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3">
    <w:name w:val="样式2"/>
    <w:basedOn w:val="39"/>
    <w:qFormat/>
    <w:uiPriority w:val="0"/>
    <w:pPr>
      <w:spacing w:line="360" w:lineRule="auto"/>
      <w:jc w:val="center"/>
    </w:pPr>
    <w:rPr>
      <w:sz w:val="24"/>
    </w:rPr>
  </w:style>
  <w:style w:type="paragraph" w:customStyle="1" w:styleId="15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5">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6">
    <w:name w:val="正文 + 楷体_GB2312"/>
    <w:basedOn w:val="1"/>
    <w:qFormat/>
    <w:uiPriority w:val="0"/>
    <w:pPr>
      <w:widowControl/>
      <w:jc w:val="left"/>
    </w:pPr>
    <w:rPr>
      <w:rFonts w:ascii="楷体_GB2312" w:eastAsia="楷体_GB2312" w:cs="Arial"/>
      <w:kern w:val="0"/>
      <w:sz w:val="24"/>
    </w:rPr>
  </w:style>
  <w:style w:type="paragraph" w:customStyle="1" w:styleId="157">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8">
    <w:name w:val="1 Char Char Char Char"/>
    <w:basedOn w:val="1"/>
    <w:qFormat/>
    <w:uiPriority w:val="0"/>
    <w:rPr>
      <w:rFonts w:ascii="Tahoma" w:hAnsi="Tahoma"/>
      <w:sz w:val="24"/>
      <w:szCs w:val="20"/>
    </w:rPr>
  </w:style>
  <w:style w:type="paragraph" w:customStyle="1" w:styleId="159">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0">
    <w:name w:val="列出段落1"/>
    <w:basedOn w:val="1"/>
    <w:qFormat/>
    <w:uiPriority w:val="0"/>
    <w:pPr>
      <w:ind w:firstLine="420" w:firstLineChars="200"/>
    </w:pPr>
    <w:rPr>
      <w:rFonts w:ascii="Calibri" w:hAnsi="Calibri"/>
      <w:szCs w:val="22"/>
    </w:rPr>
  </w:style>
  <w:style w:type="paragraph" w:customStyle="1" w:styleId="161">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字元 字元1"/>
    <w:basedOn w:val="1"/>
    <w:qFormat/>
    <w:uiPriority w:val="0"/>
    <w:rPr>
      <w:rFonts w:ascii="Tahoma" w:hAnsi="Tahoma"/>
      <w:sz w:val="24"/>
      <w:szCs w:val="20"/>
    </w:rPr>
  </w:style>
  <w:style w:type="paragraph" w:customStyle="1" w:styleId="163">
    <w:name w:val="_Style 160"/>
    <w:qFormat/>
    <w:uiPriority w:val="0"/>
    <w:rPr>
      <w:rFonts w:ascii="Times New Roman" w:hAnsi="Times New Roman" w:eastAsia="宋体" w:cs="Times New Roman"/>
      <w:kern w:val="2"/>
      <w:sz w:val="21"/>
      <w:szCs w:val="24"/>
      <w:lang w:val="en-US" w:eastAsia="zh-CN" w:bidi="ar-SA"/>
    </w:rPr>
  </w:style>
  <w:style w:type="paragraph" w:customStyle="1" w:styleId="164">
    <w:name w:val="项目编号3"/>
    <w:basedOn w:val="125"/>
    <w:qFormat/>
    <w:uiPriority w:val="0"/>
    <w:pPr>
      <w:numPr>
        <w:ilvl w:val="0"/>
        <w:numId w:val="6"/>
      </w:numPr>
    </w:pPr>
  </w:style>
  <w:style w:type="paragraph" w:customStyle="1" w:styleId="165">
    <w:name w:val="Char21"/>
    <w:basedOn w:val="1"/>
    <w:qFormat/>
    <w:uiPriority w:val="0"/>
    <w:rPr>
      <w:rFonts w:ascii="Tahoma" w:hAnsi="Tahoma"/>
      <w:sz w:val="24"/>
      <w:szCs w:val="20"/>
    </w:rPr>
  </w:style>
  <w:style w:type="paragraph" w:customStyle="1" w:styleId="166">
    <w:name w:val="表格文字"/>
    <w:basedOn w:val="19"/>
    <w:qFormat/>
    <w:uiPriority w:val="0"/>
    <w:pPr>
      <w:spacing w:before="20" w:after="20" w:line="240" w:lineRule="auto"/>
      <w:ind w:firstLine="0"/>
    </w:pPr>
    <w:rPr>
      <w:rFonts w:ascii="Century Gothic" w:hAnsi="Century Gothic"/>
      <w:sz w:val="20"/>
      <w:szCs w:val="20"/>
    </w:rPr>
  </w:style>
  <w:style w:type="paragraph" w:customStyle="1" w:styleId="167">
    <w:name w:val="Char Char Char Char Char Char Char Char Char Char1"/>
    <w:basedOn w:val="1"/>
    <w:qFormat/>
    <w:uiPriority w:val="0"/>
    <w:rPr>
      <w:rFonts w:ascii="宋体" w:hAnsi="宋体" w:cs="Courier New"/>
      <w:sz w:val="32"/>
      <w:szCs w:val="32"/>
    </w:rPr>
  </w:style>
  <w:style w:type="paragraph" w:customStyle="1" w:styleId="168">
    <w:name w:val="正文文本样式 加粗"/>
    <w:basedOn w:val="125"/>
    <w:qFormat/>
    <w:uiPriority w:val="0"/>
    <w:rPr>
      <w:b/>
    </w:rPr>
  </w:style>
  <w:style w:type="paragraph" w:customStyle="1" w:styleId="169">
    <w:name w:val="Char2 Char Char Char Char Char Char"/>
    <w:basedOn w:val="1"/>
    <w:qFormat/>
    <w:uiPriority w:val="0"/>
    <w:pPr>
      <w:widowControl/>
      <w:spacing w:line="400" w:lineRule="exact"/>
      <w:jc w:val="center"/>
    </w:pPr>
  </w:style>
  <w:style w:type="character" w:customStyle="1" w:styleId="170">
    <w:name w:val="页脚 字符"/>
    <w:link w:val="29"/>
    <w:qFormat/>
    <w:uiPriority w:val="99"/>
    <w:rPr>
      <w:rFonts w:ascii="宋体" w:eastAsia="宋体"/>
      <w:sz w:val="18"/>
      <w:lang w:val="en-US" w:eastAsia="zh-CN" w:bidi="ar-SA"/>
    </w:rPr>
  </w:style>
  <w:style w:type="paragraph" w:customStyle="1" w:styleId="171">
    <w:name w:val="Char Char4"/>
    <w:basedOn w:val="1"/>
    <w:qFormat/>
    <w:uiPriority w:val="0"/>
    <w:pPr>
      <w:widowControl/>
      <w:spacing w:line="400" w:lineRule="exact"/>
      <w:jc w:val="center"/>
    </w:pPr>
  </w:style>
  <w:style w:type="paragraph" w:customStyle="1" w:styleId="172">
    <w:name w:val="Char3 Char Char Char1"/>
    <w:basedOn w:val="1"/>
    <w:qFormat/>
    <w:uiPriority w:val="0"/>
    <w:rPr>
      <w:rFonts w:ascii="Tahoma" w:hAnsi="Tahoma"/>
      <w:sz w:val="24"/>
      <w:szCs w:val="20"/>
    </w:rPr>
  </w:style>
  <w:style w:type="paragraph" w:styleId="17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5">
    <w:name w:val="中等深浅网格 1 - 强调文字颜色 2 Char"/>
    <w:link w:val="176"/>
    <w:qFormat/>
    <w:uiPriority w:val="0"/>
    <w:rPr>
      <w:kern w:val="2"/>
      <w:sz w:val="21"/>
      <w:szCs w:val="24"/>
      <w:lang w:val="zh-CN" w:eastAsia="zh-CN"/>
    </w:rPr>
  </w:style>
  <w:style w:type="paragraph" w:customStyle="1" w:styleId="176">
    <w:name w:val="1"/>
    <w:link w:val="175"/>
    <w:qFormat/>
    <w:uiPriority w:val="0"/>
    <w:rPr>
      <w:rFonts w:ascii="Times New Roman" w:hAnsi="Times New Roman" w:eastAsia="宋体" w:cs="Times New Roman"/>
      <w:kern w:val="2"/>
      <w:sz w:val="21"/>
      <w:szCs w:val="24"/>
      <w:lang w:val="zh-CN" w:eastAsia="zh-CN" w:bidi="ar-SA"/>
    </w:rPr>
  </w:style>
  <w:style w:type="paragraph" w:customStyle="1" w:styleId="177">
    <w:name w:val="图文"/>
    <w:basedOn w:val="1"/>
    <w:qFormat/>
    <w:uiPriority w:val="0"/>
    <w:pPr>
      <w:adjustRightInd w:val="0"/>
      <w:snapToGrid w:val="0"/>
      <w:spacing w:after="50" w:line="360" w:lineRule="auto"/>
    </w:pPr>
    <w:rPr>
      <w:sz w:val="24"/>
    </w:rPr>
  </w:style>
  <w:style w:type="paragraph" w:customStyle="1" w:styleId="178">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79">
    <w:name w:val="正文表格"/>
    <w:basedOn w:val="1"/>
    <w:link w:val="180"/>
    <w:qFormat/>
    <w:uiPriority w:val="0"/>
    <w:pPr>
      <w:adjustRightInd w:val="0"/>
      <w:snapToGrid w:val="0"/>
      <w:jc w:val="left"/>
    </w:pPr>
    <w:rPr>
      <w:rFonts w:ascii="宋体" w:hAnsi="宋体"/>
      <w:color w:val="000000"/>
      <w:szCs w:val="21"/>
    </w:rPr>
  </w:style>
  <w:style w:type="character" w:customStyle="1" w:styleId="180">
    <w:name w:val="正文表格 Char"/>
    <w:link w:val="179"/>
    <w:qFormat/>
    <w:uiPriority w:val="0"/>
    <w:rPr>
      <w:rFonts w:ascii="宋体" w:hAnsi="宋体"/>
      <w:color w:val="000000"/>
      <w:kern w:val="2"/>
      <w:sz w:val="21"/>
      <w:szCs w:val="21"/>
    </w:rPr>
  </w:style>
  <w:style w:type="paragraph" w:customStyle="1" w:styleId="181">
    <w:name w:val="正文重点"/>
    <w:basedOn w:val="1"/>
    <w:link w:val="182"/>
    <w:qFormat/>
    <w:uiPriority w:val="0"/>
    <w:pPr>
      <w:adjustRightInd w:val="0"/>
      <w:spacing w:line="360" w:lineRule="auto"/>
      <w:ind w:firstLine="482" w:firstLineChars="200"/>
      <w:jc w:val="left"/>
      <w:textAlignment w:val="baseline"/>
    </w:pPr>
    <w:rPr>
      <w:b/>
      <w:kern w:val="0"/>
      <w:sz w:val="24"/>
      <w:szCs w:val="20"/>
    </w:rPr>
  </w:style>
  <w:style w:type="character" w:customStyle="1" w:styleId="182">
    <w:name w:val="正文重点 Char"/>
    <w:link w:val="181"/>
    <w:qFormat/>
    <w:uiPriority w:val="0"/>
    <w:rPr>
      <w:b/>
      <w:sz w:val="24"/>
    </w:rPr>
  </w:style>
  <w:style w:type="character" w:customStyle="1" w:styleId="183">
    <w:name w:val="批注文字 字符1"/>
    <w:link w:val="16"/>
    <w:qFormat/>
    <w:uiPriority w:val="99"/>
    <w:rPr>
      <w:kern w:val="2"/>
      <w:sz w:val="21"/>
      <w:szCs w:val="24"/>
    </w:rPr>
  </w:style>
  <w:style w:type="paragraph" w:customStyle="1" w:styleId="184">
    <w:name w:val="标题1-附件"/>
    <w:basedOn w:val="2"/>
    <w:qFormat/>
    <w:uiPriority w:val="0"/>
    <w:pPr>
      <w:jc w:val="left"/>
    </w:pPr>
    <w:rPr>
      <w:sz w:val="24"/>
      <w:szCs w:val="24"/>
    </w:rPr>
  </w:style>
  <w:style w:type="paragraph" w:customStyle="1" w:styleId="185">
    <w:name w:val="正文小标题"/>
    <w:basedOn w:val="1"/>
    <w:next w:val="6"/>
    <w:link w:val="186"/>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6">
    <w:name w:val="正文小标题 Char"/>
    <w:link w:val="185"/>
    <w:qFormat/>
    <w:uiPriority w:val="0"/>
    <w:rPr>
      <w:rFonts w:ascii="宋体" w:hAnsi="宋体"/>
      <w:b/>
      <w:i/>
      <w:color w:val="FF0000"/>
      <w:kern w:val="2"/>
      <w:sz w:val="24"/>
    </w:rPr>
  </w:style>
  <w:style w:type="paragraph" w:customStyle="1" w:styleId="187">
    <w:name w:val="正文大标题"/>
    <w:basedOn w:val="185"/>
    <w:next w:val="6"/>
    <w:link w:val="188"/>
    <w:qFormat/>
    <w:uiPriority w:val="0"/>
    <w:pPr>
      <w:jc w:val="center"/>
    </w:pPr>
    <w:rPr>
      <w:i w:val="0"/>
      <w:color w:val="000000"/>
      <w:sz w:val="28"/>
      <w:szCs w:val="21"/>
    </w:rPr>
  </w:style>
  <w:style w:type="character" w:customStyle="1" w:styleId="188">
    <w:name w:val="正文大标题 Char"/>
    <w:link w:val="187"/>
    <w:qFormat/>
    <w:uiPriority w:val="0"/>
    <w:rPr>
      <w:rFonts w:ascii="宋体" w:hAnsi="宋体"/>
      <w:b/>
      <w:color w:val="000000"/>
      <w:kern w:val="2"/>
      <w:sz w:val="28"/>
      <w:szCs w:val="21"/>
    </w:rPr>
  </w:style>
  <w:style w:type="character" w:customStyle="1" w:styleId="189">
    <w:name w:val="标题 字符"/>
    <w:link w:val="40"/>
    <w:qFormat/>
    <w:uiPriority w:val="0"/>
    <w:rPr>
      <w:b/>
      <w:kern w:val="2"/>
      <w:sz w:val="32"/>
    </w:rPr>
  </w:style>
  <w:style w:type="paragraph" w:customStyle="1" w:styleId="190">
    <w:name w:val="注释"/>
    <w:basedOn w:val="1"/>
    <w:link w:val="191"/>
    <w:qFormat/>
    <w:uiPriority w:val="0"/>
    <w:pPr>
      <w:adjustRightInd w:val="0"/>
      <w:snapToGrid w:val="0"/>
      <w:ind w:left="420" w:hanging="420" w:hangingChars="200"/>
      <w:jc w:val="left"/>
    </w:pPr>
    <w:rPr>
      <w:rFonts w:ascii="宋体" w:hAnsi="宋体"/>
      <w:szCs w:val="21"/>
    </w:rPr>
  </w:style>
  <w:style w:type="character" w:customStyle="1" w:styleId="191">
    <w:name w:val="注释 Char"/>
    <w:link w:val="190"/>
    <w:qFormat/>
    <w:uiPriority w:val="0"/>
    <w:rPr>
      <w:rFonts w:ascii="宋体" w:hAnsi="宋体"/>
      <w:kern w:val="2"/>
      <w:sz w:val="21"/>
      <w:szCs w:val="21"/>
    </w:rPr>
  </w:style>
  <w:style w:type="paragraph" w:customStyle="1" w:styleId="192">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3">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4">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5">
    <w:name w:val="批注文字 字符"/>
    <w:qFormat/>
    <w:uiPriority w:val="99"/>
    <w:rPr>
      <w:rFonts w:ascii="Times New Roman" w:hAnsi="Times New Roman" w:eastAsia="宋体" w:cs="Times New Roman"/>
      <w:sz w:val="24"/>
      <w:lang w:val="en-US" w:eastAsia="zh-CN" w:bidi="ar-SA"/>
    </w:rPr>
  </w:style>
  <w:style w:type="character" w:customStyle="1" w:styleId="196">
    <w:name w:val="纯文本 字符"/>
    <w:qFormat/>
    <w:uiPriority w:val="99"/>
    <w:rPr>
      <w:rFonts w:ascii="宋体" w:hAnsi="Courier New" w:eastAsia="宋体" w:cs="Times New Roman"/>
      <w:kern w:val="2"/>
      <w:sz w:val="21"/>
      <w:szCs w:val="21"/>
      <w:lang w:val="en-US" w:eastAsia="zh-CN" w:bidi="ar-SA"/>
    </w:rPr>
  </w:style>
  <w:style w:type="paragraph" w:customStyle="1" w:styleId="197">
    <w:name w:val="表格1"/>
    <w:basedOn w:val="1"/>
    <w:qFormat/>
    <w:uiPriority w:val="0"/>
    <w:pPr>
      <w:ind w:firstLine="480" w:firstLineChars="200"/>
      <w:jc w:val="center"/>
    </w:pPr>
    <w:rPr>
      <w:sz w:val="24"/>
      <w:szCs w:val="20"/>
    </w:rPr>
  </w:style>
  <w:style w:type="character" w:customStyle="1" w:styleId="198">
    <w:name w:val="纯文本 字符1"/>
    <w:qFormat/>
    <w:uiPriority w:val="0"/>
    <w:rPr>
      <w:rFonts w:ascii="宋体" w:hAnsi="Courier New"/>
    </w:rPr>
  </w:style>
  <w:style w:type="character" w:customStyle="1" w:styleId="199">
    <w:name w:val="bjh-p"/>
    <w:qFormat/>
    <w:uiPriority w:val="0"/>
  </w:style>
  <w:style w:type="paragraph" w:customStyle="1" w:styleId="200">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1">
    <w:name w:val="正文格式 Char"/>
    <w:link w:val="202"/>
    <w:qFormat/>
    <w:locked/>
    <w:uiPriority w:val="0"/>
    <w:rPr>
      <w:rFonts w:ascii="宋体" w:hAnsi="宋体"/>
      <w:sz w:val="24"/>
      <w:szCs w:val="24"/>
      <w:lang w:val="en-GB"/>
    </w:rPr>
  </w:style>
  <w:style w:type="paragraph" w:customStyle="1" w:styleId="202">
    <w:name w:val="正文格式"/>
    <w:basedOn w:val="1"/>
    <w:link w:val="201"/>
    <w:qFormat/>
    <w:uiPriority w:val="0"/>
    <w:pPr>
      <w:spacing w:beforeLines="50" w:line="360" w:lineRule="auto"/>
      <w:ind w:firstLine="480" w:firstLineChars="200"/>
    </w:pPr>
    <w:rPr>
      <w:rFonts w:ascii="宋体" w:hAnsi="宋体"/>
      <w:kern w:val="0"/>
      <w:sz w:val="24"/>
      <w:lang w:val="en-GB"/>
    </w:rPr>
  </w:style>
  <w:style w:type="character" w:customStyle="1" w:styleId="203">
    <w:name w:val="纯文本 字符2"/>
    <w:basedOn w:val="46"/>
    <w:link w:val="24"/>
    <w:qFormat/>
    <w:uiPriority w:val="0"/>
    <w:rPr>
      <w:rFonts w:hint="eastAsia" w:ascii="宋体" w:hAnsi="Courier New" w:eastAsia="宋体" w:cs="宋体"/>
      <w:kern w:val="2"/>
      <w:sz w:val="21"/>
    </w:rPr>
  </w:style>
  <w:style w:type="character" w:customStyle="1" w:styleId="204">
    <w:name w:val="正文缩进 Char"/>
    <w:qFormat/>
    <w:uiPriority w:val="0"/>
    <w:rPr>
      <w:rFonts w:ascii="宋体" w:eastAsia="宋体"/>
      <w:kern w:val="2"/>
      <w:sz w:val="24"/>
      <w:szCs w:val="24"/>
      <w:lang w:val="en-US" w:eastAsia="zh-CN" w:bidi="ar-SA"/>
    </w:rPr>
  </w:style>
  <w:style w:type="character" w:customStyle="1" w:styleId="205">
    <w:name w:val="Char Char111"/>
    <w:qFormat/>
    <w:uiPriority w:val="0"/>
    <w:rPr>
      <w:rFonts w:ascii="宋体" w:eastAsia="宋体"/>
      <w:b/>
      <w:sz w:val="24"/>
      <w:u w:val="single"/>
      <w:lang w:val="en-US" w:eastAsia="zh-CN" w:bidi="ar-SA"/>
    </w:rPr>
  </w:style>
  <w:style w:type="character" w:customStyle="1" w:styleId="206">
    <w:name w:val="正文文本缩进 Char"/>
    <w:qFormat/>
    <w:uiPriority w:val="0"/>
    <w:rPr>
      <w:rFonts w:eastAsia="宋体"/>
      <w:kern w:val="2"/>
      <w:sz w:val="24"/>
      <w:szCs w:val="24"/>
      <w:lang w:val="en-US" w:eastAsia="zh-CN" w:bidi="ar-SA"/>
    </w:rPr>
  </w:style>
  <w:style w:type="character" w:customStyle="1" w:styleId="207">
    <w:name w:val="列出段落 Char"/>
    <w:qFormat/>
    <w:uiPriority w:val="0"/>
    <w:rPr>
      <w:rFonts w:ascii="Calibri" w:hAnsi="Calibri" w:eastAsia="宋体"/>
      <w:kern w:val="2"/>
      <w:sz w:val="21"/>
      <w:szCs w:val="22"/>
      <w:lang w:val="en-US" w:eastAsia="zh-CN" w:bidi="ar-SA"/>
    </w:rPr>
  </w:style>
  <w:style w:type="character" w:customStyle="1" w:styleId="208">
    <w:name w:val="页眉 Char"/>
    <w:qFormat/>
    <w:uiPriority w:val="0"/>
    <w:rPr>
      <w:rFonts w:eastAsia="宋体"/>
      <w:kern w:val="2"/>
      <w:sz w:val="18"/>
      <w:szCs w:val="18"/>
      <w:lang w:val="en-US" w:eastAsia="zh-CN" w:bidi="ar-SA"/>
    </w:rPr>
  </w:style>
  <w:style w:type="character" w:customStyle="1" w:styleId="209">
    <w:name w:val="标题 2 Char"/>
    <w:qFormat/>
    <w:uiPriority w:val="0"/>
    <w:rPr>
      <w:rFonts w:ascii="Arial" w:hAnsi="Arial" w:eastAsia="黑体"/>
      <w:b/>
      <w:sz w:val="30"/>
      <w:lang w:val="en-US" w:eastAsia="zh-CN" w:bidi="ar-SA"/>
    </w:rPr>
  </w:style>
  <w:style w:type="paragraph" w:customStyle="1" w:styleId="210">
    <w:name w:val="字元 字元2"/>
    <w:basedOn w:val="1"/>
    <w:qFormat/>
    <w:uiPriority w:val="0"/>
    <w:rPr>
      <w:rFonts w:ascii="Tahoma" w:hAnsi="Tahoma"/>
      <w:sz w:val="24"/>
      <w:szCs w:val="20"/>
    </w:rPr>
  </w:style>
  <w:style w:type="paragraph" w:customStyle="1" w:styleId="211">
    <w:name w:val="Char3 Char Char Char2"/>
    <w:basedOn w:val="1"/>
    <w:qFormat/>
    <w:uiPriority w:val="0"/>
    <w:rPr>
      <w:rFonts w:ascii="Tahoma" w:hAnsi="Tahoma"/>
      <w:sz w:val="24"/>
      <w:szCs w:val="20"/>
    </w:rPr>
  </w:style>
  <w:style w:type="paragraph" w:customStyle="1" w:styleId="212">
    <w:name w:val="正文文本缩进2"/>
    <w:basedOn w:val="1"/>
    <w:qFormat/>
    <w:uiPriority w:val="0"/>
    <w:pPr>
      <w:spacing w:line="480" w:lineRule="exact"/>
      <w:ind w:firstLine="480" w:firstLineChars="200"/>
    </w:pPr>
    <w:rPr>
      <w:rFonts w:ascii="宋体" w:hAnsi="宋体"/>
      <w:kern w:val="0"/>
      <w:sz w:val="24"/>
      <w:lang w:val="zh-CN" w:eastAsia="zh-CN"/>
    </w:rPr>
  </w:style>
  <w:style w:type="paragraph" w:customStyle="1" w:styleId="213">
    <w:name w:val="Char3"/>
    <w:basedOn w:val="1"/>
    <w:qFormat/>
    <w:uiPriority w:val="0"/>
    <w:pPr>
      <w:tabs>
        <w:tab w:val="left" w:pos="360"/>
      </w:tabs>
    </w:pPr>
    <w:rPr>
      <w:sz w:val="24"/>
    </w:rPr>
  </w:style>
  <w:style w:type="paragraph" w:customStyle="1" w:styleId="214">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5">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6">
    <w:name w:val="列出段落2"/>
    <w:basedOn w:val="1"/>
    <w:qFormat/>
    <w:uiPriority w:val="0"/>
    <w:pPr>
      <w:ind w:firstLine="420" w:firstLineChars="200"/>
    </w:pPr>
    <w:rPr>
      <w:rFonts w:ascii="Calibri" w:hAnsi="Calibri"/>
      <w:szCs w:val="22"/>
    </w:rPr>
  </w:style>
  <w:style w:type="paragraph" w:customStyle="1" w:styleId="217">
    <w:name w:val="Char Char Char1 Char2"/>
    <w:basedOn w:val="1"/>
    <w:qFormat/>
    <w:uiPriority w:val="0"/>
    <w:rPr>
      <w:rFonts w:ascii="Tahoma" w:hAnsi="Tahoma"/>
      <w:sz w:val="24"/>
      <w:szCs w:val="20"/>
    </w:rPr>
  </w:style>
  <w:style w:type="paragraph" w:customStyle="1" w:styleId="218">
    <w:name w:val="Char Char Char2"/>
    <w:basedOn w:val="1"/>
    <w:qFormat/>
    <w:uiPriority w:val="0"/>
    <w:rPr>
      <w:rFonts w:ascii="Tahoma" w:hAnsi="Tahoma"/>
      <w:sz w:val="24"/>
      <w:szCs w:val="20"/>
    </w:rPr>
  </w:style>
  <w:style w:type="paragraph" w:customStyle="1" w:styleId="219">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0">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eastAsia="zh-CN"/>
    </w:rPr>
  </w:style>
  <w:style w:type="paragraph" w:customStyle="1" w:styleId="221">
    <w:name w:val="Revision"/>
    <w:qFormat/>
    <w:uiPriority w:val="0"/>
    <w:rPr>
      <w:rFonts w:ascii="Times New Roman" w:hAnsi="Times New Roman" w:eastAsia="宋体" w:cs="Times New Roman"/>
      <w:kern w:val="2"/>
      <w:sz w:val="21"/>
      <w:szCs w:val="24"/>
      <w:lang w:val="en-US" w:eastAsia="zh-CN" w:bidi="ar-SA"/>
    </w:rPr>
  </w:style>
  <w:style w:type="paragraph" w:customStyle="1" w:styleId="222">
    <w:name w:val="Char22"/>
    <w:basedOn w:val="1"/>
    <w:qFormat/>
    <w:uiPriority w:val="0"/>
    <w:rPr>
      <w:rFonts w:ascii="Tahoma" w:hAnsi="Tahoma"/>
      <w:sz w:val="24"/>
      <w:szCs w:val="20"/>
    </w:rPr>
  </w:style>
  <w:style w:type="paragraph" w:customStyle="1" w:styleId="223">
    <w:name w:val="Char Char Char Char Char Char Char Char Char Char2"/>
    <w:basedOn w:val="1"/>
    <w:qFormat/>
    <w:uiPriority w:val="0"/>
    <w:rPr>
      <w:rFonts w:ascii="宋体" w:hAnsi="宋体" w:cs="Courier New"/>
      <w:sz w:val="32"/>
      <w:szCs w:val="32"/>
    </w:rPr>
  </w:style>
  <w:style w:type="paragraph" w:customStyle="1" w:styleId="224">
    <w:name w:val="Char2 Char Char Char Char Char Char1"/>
    <w:basedOn w:val="1"/>
    <w:qFormat/>
    <w:uiPriority w:val="0"/>
    <w:pPr>
      <w:widowControl/>
      <w:spacing w:line="400" w:lineRule="exact"/>
      <w:jc w:val="center"/>
    </w:pPr>
  </w:style>
  <w:style w:type="character" w:customStyle="1" w:styleId="225">
    <w:name w:val="页脚 Char"/>
    <w:qFormat/>
    <w:uiPriority w:val="0"/>
    <w:rPr>
      <w:rFonts w:ascii="宋体" w:eastAsia="宋体"/>
      <w:sz w:val="18"/>
      <w:lang w:val="en-US" w:eastAsia="zh-CN" w:bidi="ar-SA"/>
    </w:rPr>
  </w:style>
  <w:style w:type="paragraph" w:customStyle="1" w:styleId="226">
    <w:name w:val="Char Char41"/>
    <w:basedOn w:val="1"/>
    <w:qFormat/>
    <w:uiPriority w:val="0"/>
    <w:pPr>
      <w:widowControl/>
      <w:spacing w:line="400" w:lineRule="exact"/>
      <w:jc w:val="center"/>
    </w:pPr>
  </w:style>
  <w:style w:type="character" w:customStyle="1" w:styleId="227">
    <w:name w:val="批注文字 Char"/>
    <w:qFormat/>
    <w:uiPriority w:val="99"/>
    <w:rPr>
      <w:kern w:val="2"/>
      <w:sz w:val="21"/>
      <w:szCs w:val="24"/>
    </w:rPr>
  </w:style>
  <w:style w:type="character" w:customStyle="1" w:styleId="228">
    <w:name w:val="标题 Char"/>
    <w:qFormat/>
    <w:uiPriority w:val="0"/>
    <w:rPr>
      <w:b/>
      <w:kern w:val="2"/>
      <w:sz w:val="32"/>
    </w:rPr>
  </w:style>
  <w:style w:type="character" w:customStyle="1" w:styleId="229">
    <w:name w:val="标题 1 字符"/>
    <w:basedOn w:val="46"/>
    <w:link w:val="2"/>
    <w:qFormat/>
    <w:uiPriority w:val="0"/>
    <w:rPr>
      <w:rFonts w:ascii="宋体"/>
      <w:b/>
      <w:kern w:val="44"/>
      <w:sz w:val="32"/>
    </w:rPr>
  </w:style>
  <w:style w:type="character" w:customStyle="1" w:styleId="230">
    <w:name w:val="标题 4 字符"/>
    <w:basedOn w:val="46"/>
    <w:link w:val="7"/>
    <w:qFormat/>
    <w:uiPriority w:val="0"/>
    <w:rPr>
      <w:sz w:val="24"/>
    </w:rPr>
  </w:style>
  <w:style w:type="character" w:customStyle="1" w:styleId="231">
    <w:name w:val="标题 5 字符"/>
    <w:basedOn w:val="46"/>
    <w:link w:val="8"/>
    <w:qFormat/>
    <w:uiPriority w:val="0"/>
    <w:rPr>
      <w:b/>
      <w:sz w:val="28"/>
    </w:rPr>
  </w:style>
  <w:style w:type="character" w:customStyle="1" w:styleId="232">
    <w:name w:val="标题 6 字符"/>
    <w:basedOn w:val="46"/>
    <w:link w:val="9"/>
    <w:qFormat/>
    <w:uiPriority w:val="0"/>
    <w:rPr>
      <w:rFonts w:ascii="Arial" w:hAnsi="Arial" w:eastAsia="黑体"/>
      <w:b/>
      <w:sz w:val="24"/>
    </w:rPr>
  </w:style>
  <w:style w:type="character" w:customStyle="1" w:styleId="233">
    <w:name w:val="标题 7 字符"/>
    <w:basedOn w:val="46"/>
    <w:link w:val="10"/>
    <w:qFormat/>
    <w:uiPriority w:val="0"/>
    <w:rPr>
      <w:b/>
      <w:sz w:val="24"/>
    </w:rPr>
  </w:style>
  <w:style w:type="character" w:customStyle="1" w:styleId="234">
    <w:name w:val="标题 8 字符"/>
    <w:basedOn w:val="46"/>
    <w:link w:val="11"/>
    <w:qFormat/>
    <w:uiPriority w:val="0"/>
    <w:rPr>
      <w:rFonts w:ascii="Arial" w:hAnsi="Arial" w:eastAsia="黑体"/>
      <w:sz w:val="24"/>
    </w:rPr>
  </w:style>
  <w:style w:type="character" w:customStyle="1" w:styleId="235">
    <w:name w:val="标题 9 字符"/>
    <w:basedOn w:val="46"/>
    <w:link w:val="12"/>
    <w:qFormat/>
    <w:uiPriority w:val="0"/>
    <w:rPr>
      <w:rFonts w:ascii="Arial" w:hAnsi="Arial" w:eastAsia="黑体"/>
      <w:sz w:val="21"/>
    </w:rPr>
  </w:style>
  <w:style w:type="character" w:customStyle="1" w:styleId="236">
    <w:name w:val="文档结构图 字符"/>
    <w:basedOn w:val="46"/>
    <w:link w:val="15"/>
    <w:qFormat/>
    <w:uiPriority w:val="0"/>
    <w:rPr>
      <w:kern w:val="2"/>
      <w:sz w:val="21"/>
      <w:szCs w:val="24"/>
      <w:shd w:val="clear" w:color="auto" w:fill="000080"/>
    </w:rPr>
  </w:style>
  <w:style w:type="character" w:customStyle="1" w:styleId="237">
    <w:name w:val="正文文本 3 字符"/>
    <w:basedOn w:val="46"/>
    <w:link w:val="17"/>
    <w:qFormat/>
    <w:uiPriority w:val="0"/>
    <w:rPr>
      <w:kern w:val="2"/>
      <w:sz w:val="16"/>
      <w:szCs w:val="16"/>
    </w:rPr>
  </w:style>
  <w:style w:type="character" w:customStyle="1" w:styleId="238">
    <w:name w:val="正文文本 字符"/>
    <w:basedOn w:val="46"/>
    <w:link w:val="18"/>
    <w:qFormat/>
    <w:uiPriority w:val="0"/>
    <w:rPr>
      <w:rFonts w:ascii="宋体" w:hAnsi="宋体"/>
      <w:kern w:val="2"/>
      <w:sz w:val="24"/>
      <w:szCs w:val="24"/>
    </w:rPr>
  </w:style>
  <w:style w:type="character" w:customStyle="1" w:styleId="239">
    <w:name w:val="日期 字符"/>
    <w:basedOn w:val="46"/>
    <w:link w:val="26"/>
    <w:qFormat/>
    <w:uiPriority w:val="0"/>
    <w:rPr>
      <w:rFonts w:ascii="仿宋_GB2312" w:hAnsi="宋体" w:eastAsia="仿宋_GB2312"/>
      <w:color w:val="000000"/>
      <w:kern w:val="2"/>
      <w:sz w:val="24"/>
      <w:szCs w:val="24"/>
    </w:rPr>
  </w:style>
  <w:style w:type="character" w:customStyle="1" w:styleId="240">
    <w:name w:val="正文文本缩进 2 字符"/>
    <w:basedOn w:val="46"/>
    <w:link w:val="27"/>
    <w:qFormat/>
    <w:uiPriority w:val="0"/>
    <w:rPr>
      <w:rFonts w:ascii="仿宋_GB2312" w:eastAsia="仿宋_GB2312"/>
      <w:kern w:val="2"/>
      <w:sz w:val="24"/>
      <w:szCs w:val="24"/>
    </w:rPr>
  </w:style>
  <w:style w:type="character" w:customStyle="1" w:styleId="241">
    <w:name w:val="批注框文本 字符"/>
    <w:basedOn w:val="46"/>
    <w:link w:val="28"/>
    <w:qFormat/>
    <w:uiPriority w:val="0"/>
    <w:rPr>
      <w:kern w:val="2"/>
      <w:sz w:val="18"/>
      <w:szCs w:val="18"/>
    </w:rPr>
  </w:style>
  <w:style w:type="character" w:customStyle="1" w:styleId="242">
    <w:name w:val="正文文本缩进 3 字符"/>
    <w:basedOn w:val="46"/>
    <w:link w:val="34"/>
    <w:qFormat/>
    <w:uiPriority w:val="0"/>
    <w:rPr>
      <w:rFonts w:ascii="宋体"/>
      <w:sz w:val="24"/>
    </w:rPr>
  </w:style>
  <w:style w:type="character" w:customStyle="1" w:styleId="243">
    <w:name w:val="HTML 预设格式 字符"/>
    <w:basedOn w:val="46"/>
    <w:link w:val="37"/>
    <w:qFormat/>
    <w:uiPriority w:val="0"/>
    <w:rPr>
      <w:rFonts w:ascii="宋体" w:hAnsi="宋体" w:cs="宋体"/>
      <w:sz w:val="24"/>
      <w:szCs w:val="24"/>
    </w:rPr>
  </w:style>
  <w:style w:type="character" w:customStyle="1" w:styleId="244">
    <w:name w:val="批注主题 字符"/>
    <w:basedOn w:val="195"/>
    <w:link w:val="41"/>
    <w:qFormat/>
    <w:uiPriority w:val="0"/>
    <w:rPr>
      <w:rFonts w:ascii="Times New Roman" w:hAnsi="Times New Roman" w:eastAsia="宋体" w:cs="Times New Roman"/>
      <w:b/>
      <w:bCs/>
      <w:kern w:val="2"/>
      <w:sz w:val="21"/>
      <w:szCs w:val="24"/>
      <w:lang w:val="en-US" w:eastAsia="zh-CN" w:bidi="ar-SA"/>
    </w:rPr>
  </w:style>
  <w:style w:type="character" w:customStyle="1" w:styleId="245">
    <w:name w:val="正文文本首行缩进 2 字符"/>
    <w:basedOn w:val="69"/>
    <w:link w:val="42"/>
    <w:qFormat/>
    <w:uiPriority w:val="0"/>
    <w:rPr>
      <w:rFonts w:eastAsia="宋体"/>
      <w:kern w:val="2"/>
      <w:sz w:val="24"/>
      <w:szCs w:val="24"/>
      <w:lang w:val="en-US" w:eastAsia="zh-CN" w:bidi="ar-SA"/>
    </w:rPr>
  </w:style>
  <w:style w:type="paragraph" w:customStyle="1" w:styleId="246">
    <w:name w:val="图例"/>
    <w:basedOn w:val="1"/>
    <w:qFormat/>
    <w:uiPriority w:val="0"/>
    <w:pPr>
      <w:spacing w:before="120" w:after="120" w:line="360" w:lineRule="auto"/>
      <w:jc w:val="center"/>
    </w:pPr>
    <w:rPr>
      <w:rFonts w:eastAsia="仿宋_GB2312"/>
      <w:b/>
      <w:sz w:val="24"/>
      <w:szCs w:val="20"/>
    </w:rPr>
  </w:style>
  <w:style w:type="table" w:customStyle="1" w:styleId="247">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48">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49">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50">
    <w:name w:val="cf01"/>
    <w:basedOn w:val="46"/>
    <w:qFormat/>
    <w:uiPriority w:val="0"/>
    <w:rPr>
      <w:rFonts w:hint="eastAsia" w:ascii="Microsoft YaHei UI" w:hAnsi="Microsoft YaHei UI" w:eastAsia="Microsoft YaHei UI"/>
      <w:sz w:val="18"/>
      <w:szCs w:val="18"/>
    </w:rPr>
  </w:style>
  <w:style w:type="character" w:customStyle="1" w:styleId="251">
    <w:name w:val="cf21"/>
    <w:basedOn w:val="46"/>
    <w:qFormat/>
    <w:uiPriority w:val="0"/>
    <w:rPr>
      <w:rFonts w:hint="eastAsia" w:ascii="Microsoft YaHei UI" w:hAnsi="Microsoft YaHei UI" w:eastAsia="Microsoft YaHei UI"/>
      <w:sz w:val="18"/>
      <w:szCs w:val="18"/>
      <w:shd w:val="clear" w:color="auto" w:fill="FFFFFF"/>
    </w:rPr>
  </w:style>
  <w:style w:type="character" w:customStyle="1" w:styleId="252">
    <w:name w:val="cf11"/>
    <w:basedOn w:val="46"/>
    <w:qFormat/>
    <w:uiPriority w:val="0"/>
    <w:rPr>
      <w:rFonts w:hint="eastAsia" w:ascii="Microsoft YaHei UI" w:hAnsi="Microsoft YaHei UI" w:eastAsia="Microsoft YaHei UI"/>
      <w:sz w:val="18"/>
      <w:szCs w:val="18"/>
    </w:rPr>
  </w:style>
  <w:style w:type="paragraph" w:customStyle="1" w:styleId="253">
    <w:name w:val="Pa0"/>
    <w:basedOn w:val="1"/>
    <w:next w:val="1"/>
    <w:qFormat/>
    <w:uiPriority w:val="99"/>
    <w:pPr>
      <w:autoSpaceDE w:val="0"/>
      <w:autoSpaceDN w:val="0"/>
      <w:adjustRightInd w:val="0"/>
      <w:spacing w:line="241" w:lineRule="atLeast"/>
      <w:jc w:val="left"/>
    </w:pPr>
    <w:rPr>
      <w:rFonts w:ascii="......_." w:hAnsi="Calibri" w:eastAsia="......_."/>
      <w:kern w:val="0"/>
      <w:sz w:val="24"/>
    </w:rPr>
  </w:style>
  <w:style w:type="paragraph" w:customStyle="1" w:styleId="254">
    <w:name w:val="Table Text"/>
    <w:basedOn w:val="1"/>
    <w:qFormat/>
    <w:uiPriority w:val="0"/>
    <w:pPr>
      <w:widowControl/>
      <w:kinsoku w:val="0"/>
      <w:autoSpaceDE w:val="0"/>
      <w:autoSpaceDN w:val="0"/>
      <w:adjustRightInd w:val="0"/>
      <w:snapToGrid w:val="0"/>
      <w:jc w:val="left"/>
      <w:textAlignment w:val="baseline"/>
    </w:pPr>
    <w:rPr>
      <w:rFonts w:ascii="宋体" w:hAnsi="宋体" w:cs="宋体"/>
      <w:snapToGrid w:val="0"/>
      <w:color w:val="000000"/>
      <w:kern w:val="0"/>
      <w:sz w:val="23"/>
      <w:szCs w:val="23"/>
      <w:lang w:eastAsia="en-US"/>
    </w:rPr>
  </w:style>
  <w:style w:type="character" w:customStyle="1" w:styleId="255">
    <w:name w:val="font21"/>
    <w:basedOn w:val="46"/>
    <w:qFormat/>
    <w:uiPriority w:val="0"/>
    <w:rPr>
      <w:rFonts w:hint="eastAsia" w:ascii="仿宋" w:hAnsi="仿宋" w:eastAsia="仿宋" w:cs="仿宋"/>
      <w:color w:val="000000"/>
      <w:sz w:val="20"/>
      <w:szCs w:val="20"/>
      <w:u w:val="none"/>
    </w:rPr>
  </w:style>
  <w:style w:type="character" w:customStyle="1" w:styleId="256">
    <w:name w:val="font11"/>
    <w:basedOn w:val="46"/>
    <w:qFormat/>
    <w:uiPriority w:val="0"/>
    <w:rPr>
      <w:rFonts w:hint="eastAsia" w:ascii="仿宋" w:hAnsi="仿宋" w:eastAsia="仿宋" w:cs="仿宋"/>
      <w:color w:val="000000"/>
      <w:sz w:val="20"/>
      <w:szCs w:val="20"/>
      <w:u w:val="none"/>
    </w:rPr>
  </w:style>
  <w:style w:type="character" w:customStyle="1" w:styleId="257">
    <w:name w:val="font31"/>
    <w:basedOn w:val="46"/>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17</Pages>
  <Words>1179</Words>
  <Characters>1540</Characters>
  <Lines>1296</Lines>
  <Paragraphs>1101</Paragraphs>
  <TotalTime>58</TotalTime>
  <ScaleCrop>false</ScaleCrop>
  <LinksUpToDate>false</LinksUpToDate>
  <CharactersWithSpaces>1595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2024-06-05T09:36:00Z</dcterms:created>
  <dc:creator>Yin Hao</dc:creator>
  <cp:lastModifiedBy>user</cp:lastModifiedBy>
  <cp:lastPrinted>2020-04-02T03:13:00Z</cp:lastPrinted>
  <dcterms:modified xsi:type="dcterms:W3CDTF">2026-08-28T00:40:20Z</dcterms:modified>
  <dc:title>政府采购示范文本（2023）</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F42F08E1EE3B4F9F91CB3D154D7ED8F4_13</vt:lpwstr>
  </property>
  <property fmtid="{D5CDD505-2E9C-101B-9397-08002B2CF9AE}" pid="4" name="KSOTemplateDocerSaveRecord">
    <vt:lpwstr>eyJoZGlkIjoiZDY2ZGE0NTNjMjczYjk4NjU0NDRhYjBhMjQwOTk3ZjUiLCJ1c2VySWQiOiI1ODk3MTQzNjQifQ==</vt:lpwstr>
  </property>
</Properties>
</file>